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7A" w:rsidRDefault="000C4C7A" w:rsidP="000C4C7A">
      <w:pPr>
        <w:rPr>
          <w:b/>
          <w:sz w:val="36"/>
          <w:szCs w:val="36"/>
          <w:u w:val="single"/>
        </w:rPr>
      </w:pPr>
      <w:r w:rsidRPr="000C4C7A">
        <w:rPr>
          <w:b/>
          <w:noProof/>
          <w:sz w:val="36"/>
          <w:szCs w:val="36"/>
        </w:rPr>
        <w:drawing>
          <wp:inline distT="0" distB="0" distL="0" distR="0">
            <wp:extent cx="552450" cy="535452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5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ΕΛΛΗΝΙΚΗ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Αγία Παρασκευή 14/12/2015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ΝΟΜΟΣ ΑΤΤΙΚΗΣ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Αρ.πρωτ.</w:t>
      </w:r>
      <w:r w:rsidR="003D05BC">
        <w:rPr>
          <w:rFonts w:ascii="Arial" w:hAnsi="Arial" w:cs="Arial"/>
          <w:sz w:val="22"/>
          <w:szCs w:val="22"/>
        </w:rPr>
        <w:t>42852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ΔΗΜΟΣ ΑΓΙΑΣ ΠΑΡΑΣΚΕΥΗΣ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Δ/ΝΣΗ ΤΕΧΝΙΚΩΝ ΥΠΗΡΕΣΙΩΝ</w:t>
      </w:r>
    </w:p>
    <w:p w:rsid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ΤΜ.ΕΡΓΩΝ ΥΠΟΔΟΜΗΣ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proofErr w:type="spellStart"/>
      <w:r w:rsidRPr="000C4C7A">
        <w:rPr>
          <w:rFonts w:ascii="Arial" w:hAnsi="Arial" w:cs="Arial"/>
          <w:sz w:val="22"/>
          <w:szCs w:val="22"/>
        </w:rPr>
        <w:t>Πληρ</w:t>
      </w:r>
      <w:proofErr w:type="spellEnd"/>
      <w:r w:rsidRPr="000C4C7A">
        <w:rPr>
          <w:rFonts w:ascii="Arial" w:hAnsi="Arial" w:cs="Arial"/>
          <w:sz w:val="22"/>
          <w:szCs w:val="22"/>
        </w:rPr>
        <w:t>. Γ. Παπαγεωργίου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Δ/νση Λ. Μεσογείων 415-417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 xml:space="preserve">           15343 Αγ. Παρασκευή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proofErr w:type="spellStart"/>
      <w:r w:rsidRPr="000C4C7A">
        <w:rPr>
          <w:rFonts w:ascii="Arial" w:hAnsi="Arial" w:cs="Arial"/>
          <w:sz w:val="22"/>
          <w:szCs w:val="22"/>
        </w:rPr>
        <w:t>Τηλ</w:t>
      </w:r>
      <w:proofErr w:type="spellEnd"/>
      <w:r w:rsidRPr="000C4C7A">
        <w:rPr>
          <w:rFonts w:ascii="Arial" w:hAnsi="Arial" w:cs="Arial"/>
          <w:sz w:val="22"/>
          <w:szCs w:val="22"/>
        </w:rPr>
        <w:t>. 213 2004564</w:t>
      </w:r>
    </w:p>
    <w:p w:rsidR="000C4C7A" w:rsidRPr="000C4C7A" w:rsidRDefault="000C4C7A" w:rsidP="000C4C7A">
      <w:pPr>
        <w:rPr>
          <w:rFonts w:ascii="Arial" w:hAnsi="Arial" w:cs="Arial"/>
          <w:sz w:val="22"/>
          <w:szCs w:val="22"/>
        </w:rPr>
      </w:pPr>
      <w:proofErr w:type="spellStart"/>
      <w:r w:rsidRPr="000C4C7A">
        <w:rPr>
          <w:rFonts w:ascii="Arial" w:hAnsi="Arial" w:cs="Arial"/>
          <w:sz w:val="22"/>
          <w:szCs w:val="22"/>
        </w:rPr>
        <w:t>Fax</w:t>
      </w:r>
      <w:proofErr w:type="spellEnd"/>
      <w:r w:rsidRPr="000C4C7A">
        <w:rPr>
          <w:rFonts w:ascii="Arial" w:hAnsi="Arial" w:cs="Arial"/>
          <w:sz w:val="22"/>
          <w:szCs w:val="22"/>
        </w:rPr>
        <w:t xml:space="preserve">  213 2004513</w:t>
      </w:r>
    </w:p>
    <w:p w:rsidR="000C4C7A" w:rsidRDefault="000C4C7A" w:rsidP="000C4C7A">
      <w:pPr>
        <w:rPr>
          <w:rFonts w:ascii="Arial" w:hAnsi="Arial" w:cs="Arial"/>
        </w:rPr>
      </w:pPr>
    </w:p>
    <w:p w:rsidR="000C4C7A" w:rsidRDefault="000C4C7A" w:rsidP="000C4C7A">
      <w:pPr>
        <w:rPr>
          <w:rFonts w:ascii="Arial" w:hAnsi="Arial" w:cs="Arial"/>
        </w:rPr>
      </w:pPr>
    </w:p>
    <w:p w:rsidR="000C4C7A" w:rsidRPr="000C4C7A" w:rsidRDefault="000C4C7A" w:rsidP="000C4C7A">
      <w:pPr>
        <w:ind w:left="3600" w:firstLine="720"/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 xml:space="preserve">Προς: </w:t>
      </w:r>
      <w:proofErr w:type="spellStart"/>
      <w:r w:rsidRPr="000C4C7A">
        <w:rPr>
          <w:rFonts w:ascii="Arial" w:hAnsi="Arial" w:cs="Arial"/>
          <w:sz w:val="22"/>
          <w:szCs w:val="22"/>
        </w:rPr>
        <w:t>κ.κ.Πρόεδρο</w:t>
      </w:r>
      <w:proofErr w:type="spellEnd"/>
      <w:r w:rsidRPr="000C4C7A">
        <w:rPr>
          <w:rFonts w:ascii="Arial" w:hAnsi="Arial" w:cs="Arial"/>
          <w:sz w:val="22"/>
          <w:szCs w:val="22"/>
        </w:rPr>
        <w:t xml:space="preserve"> και Μέλη Δημοτικού Συμβουλίου</w:t>
      </w:r>
    </w:p>
    <w:p w:rsidR="00A174BB" w:rsidRDefault="00A174BB" w:rsidP="000C4C7A">
      <w:pPr>
        <w:rPr>
          <w:b/>
          <w:sz w:val="36"/>
          <w:szCs w:val="36"/>
        </w:rPr>
      </w:pPr>
    </w:p>
    <w:p w:rsidR="000C4C7A" w:rsidRPr="000C4C7A" w:rsidRDefault="000C4C7A" w:rsidP="000C4C7A">
      <w:pPr>
        <w:ind w:firstLine="720"/>
        <w:rPr>
          <w:rFonts w:ascii="Arial" w:hAnsi="Arial" w:cs="Arial"/>
          <w:sz w:val="22"/>
          <w:szCs w:val="22"/>
        </w:rPr>
      </w:pPr>
      <w:r w:rsidRPr="000C4C7A">
        <w:rPr>
          <w:rFonts w:ascii="Arial" w:hAnsi="Arial" w:cs="Arial"/>
          <w:sz w:val="22"/>
          <w:szCs w:val="22"/>
        </w:rPr>
        <w:t>ΘΕΜΑ: Λήψ</w:t>
      </w:r>
      <w:r w:rsidR="00787252">
        <w:rPr>
          <w:rFonts w:ascii="Arial" w:hAnsi="Arial" w:cs="Arial"/>
          <w:sz w:val="22"/>
          <w:szCs w:val="22"/>
        </w:rPr>
        <w:t xml:space="preserve">η απόφασης για την έγκριση του </w:t>
      </w:r>
      <w:r w:rsidR="00787252" w:rsidRPr="00787252">
        <w:rPr>
          <w:rFonts w:ascii="Arial" w:hAnsi="Arial" w:cs="Arial"/>
          <w:sz w:val="22"/>
          <w:szCs w:val="22"/>
        </w:rPr>
        <w:t>2</w:t>
      </w:r>
      <w:r w:rsidRPr="000C4C7A">
        <w:rPr>
          <w:rFonts w:ascii="Arial" w:hAnsi="Arial" w:cs="Arial"/>
          <w:sz w:val="22"/>
          <w:szCs w:val="22"/>
        </w:rPr>
        <w:t xml:space="preserve">ου Α.Π.Ε. του έργου «ΠΑΡΕΜΒΑΣΕΙΣ ΣΕ </w:t>
      </w:r>
      <w:r w:rsidRPr="000C4C7A">
        <w:rPr>
          <w:rFonts w:ascii="Arial" w:hAnsi="Arial" w:cs="Arial"/>
          <w:sz w:val="22"/>
          <w:szCs w:val="22"/>
        </w:rPr>
        <w:tab/>
        <w:t>ΚΟΙΝΟΧΡΗΣΤΟΥΣ ΧΩΡΟΥΣ»</w:t>
      </w:r>
    </w:p>
    <w:p w:rsidR="000C4C7A" w:rsidRPr="000C4C7A" w:rsidRDefault="000C4C7A" w:rsidP="000C4C7A">
      <w:pPr>
        <w:rPr>
          <w:sz w:val="22"/>
          <w:szCs w:val="22"/>
        </w:rPr>
      </w:pPr>
    </w:p>
    <w:p w:rsidR="00A174BB" w:rsidRPr="0002189A" w:rsidRDefault="00A174BB" w:rsidP="00A174BB">
      <w:pPr>
        <w:rPr>
          <w:b/>
        </w:rPr>
      </w:pPr>
      <w:r w:rsidRPr="0002189A">
        <w:rPr>
          <w:b/>
        </w:rPr>
        <w:t>Α.    ΙΣΤΟΡΙΚΟ  ΤΟΥ  ΕΡΓΟΥ.</w:t>
      </w:r>
    </w:p>
    <w:p w:rsidR="00706E1B" w:rsidRPr="0002189A" w:rsidRDefault="00706E1B" w:rsidP="00A174BB">
      <w:pPr>
        <w:rPr>
          <w:b/>
        </w:rPr>
      </w:pPr>
    </w:p>
    <w:p w:rsidR="00A174BB" w:rsidRPr="0002189A" w:rsidRDefault="00A174BB" w:rsidP="00706E1B">
      <w:pPr>
        <w:pStyle w:val="a3"/>
        <w:numPr>
          <w:ilvl w:val="0"/>
          <w:numId w:val="1"/>
        </w:numPr>
        <w:spacing w:line="360" w:lineRule="auto"/>
        <w:jc w:val="both"/>
      </w:pPr>
      <w:r w:rsidRPr="0002189A">
        <w:t xml:space="preserve">Το έργο της επικεφαλίδας προϋπολογισμού μελέτης </w:t>
      </w:r>
      <w:r w:rsidR="00BA7A0F" w:rsidRPr="0002189A">
        <w:t>203.252,03</w:t>
      </w:r>
      <w:r w:rsidRPr="0002189A">
        <w:t xml:space="preserve">€ </w:t>
      </w:r>
      <w:r w:rsidR="00574637" w:rsidRPr="0002189A">
        <w:t xml:space="preserve">χωρίς </w:t>
      </w:r>
      <w:r w:rsidRPr="0002189A">
        <w:t xml:space="preserve">Φ.Π.Α. 23% δημοπρατήθηκε με το σύστημα των επί μέρους ποσοστών έκπτωσης στις </w:t>
      </w:r>
      <w:r w:rsidR="00BA2559" w:rsidRPr="0002189A">
        <w:t>08</w:t>
      </w:r>
      <w:r w:rsidRPr="0002189A">
        <w:t>-</w:t>
      </w:r>
      <w:r w:rsidR="00BA2559" w:rsidRPr="0002189A">
        <w:t>04</w:t>
      </w:r>
      <w:r w:rsidRPr="0002189A">
        <w:t>-201</w:t>
      </w:r>
      <w:r w:rsidR="00BA2559" w:rsidRPr="0002189A">
        <w:t>4</w:t>
      </w:r>
      <w:r w:rsidRPr="0002189A">
        <w:t>.</w:t>
      </w:r>
    </w:p>
    <w:p w:rsidR="00A174BB" w:rsidRPr="0002189A" w:rsidRDefault="00A174BB" w:rsidP="00706E1B">
      <w:pPr>
        <w:pStyle w:val="a3"/>
        <w:numPr>
          <w:ilvl w:val="0"/>
          <w:numId w:val="1"/>
        </w:numPr>
        <w:spacing w:line="360" w:lineRule="auto"/>
        <w:jc w:val="both"/>
      </w:pPr>
      <w:r w:rsidRPr="0002189A">
        <w:t xml:space="preserve">Κατά την παραπάνω δημοπρασία ανάδοχος αναδείχθηκε η </w:t>
      </w:r>
      <w:r w:rsidR="00574637" w:rsidRPr="0002189A">
        <w:t xml:space="preserve">Ε.Δ.Ε </w:t>
      </w:r>
      <w:proofErr w:type="spellStart"/>
      <w:r w:rsidR="00574637" w:rsidRPr="0002189A">
        <w:t>Κουτρουλάκη</w:t>
      </w:r>
      <w:proofErr w:type="spellEnd"/>
      <w:r w:rsidR="00574637" w:rsidRPr="0002189A">
        <w:t xml:space="preserve"> Ευαγγελία </w:t>
      </w:r>
      <w:r w:rsidRPr="0002189A">
        <w:t xml:space="preserve"> που προσέφερε μέση τεκμαρτή έκπτωση  (</w:t>
      </w:r>
      <w:r w:rsidR="00BA2559" w:rsidRPr="0002189A">
        <w:t>48,24</w:t>
      </w:r>
      <w:r w:rsidRPr="0002189A">
        <w:t>%) επί των τιμών του τιμολογίου.</w:t>
      </w:r>
    </w:p>
    <w:p w:rsidR="00A174BB" w:rsidRPr="0002189A" w:rsidRDefault="00A174BB" w:rsidP="00706E1B">
      <w:pPr>
        <w:pStyle w:val="a3"/>
        <w:numPr>
          <w:ilvl w:val="0"/>
          <w:numId w:val="1"/>
        </w:numPr>
        <w:spacing w:line="360" w:lineRule="auto"/>
        <w:jc w:val="both"/>
      </w:pPr>
      <w:r w:rsidRPr="0002189A">
        <w:t xml:space="preserve">Το πρακτικό της δημοπρασίας εγκρίθηκε με την αρ. </w:t>
      </w:r>
      <w:proofErr w:type="spellStart"/>
      <w:r w:rsidRPr="0002189A">
        <w:t>πρωτ</w:t>
      </w:r>
      <w:proofErr w:type="spellEnd"/>
      <w:r w:rsidRPr="0002189A">
        <w:t xml:space="preserve">. </w:t>
      </w:r>
      <w:r w:rsidR="00BA2559" w:rsidRPr="0002189A">
        <w:t>121</w:t>
      </w:r>
      <w:r w:rsidRPr="0002189A">
        <w:t>/201</w:t>
      </w:r>
      <w:r w:rsidR="00377AA0" w:rsidRPr="0002189A">
        <w:t>4</w:t>
      </w:r>
      <w:r w:rsidRPr="0002189A">
        <w:t xml:space="preserve"> απόφαση της </w:t>
      </w:r>
      <w:r w:rsidR="00377AA0" w:rsidRPr="0002189A">
        <w:t xml:space="preserve">Οικονομικής </w:t>
      </w:r>
      <w:r w:rsidRPr="0002189A">
        <w:t xml:space="preserve"> Επιτροπής του Δήμου Αγ. Παρασκευής.</w:t>
      </w:r>
    </w:p>
    <w:p w:rsidR="00A174BB" w:rsidRPr="0002189A" w:rsidRDefault="00A174BB" w:rsidP="00706E1B">
      <w:pPr>
        <w:pStyle w:val="a3"/>
        <w:numPr>
          <w:ilvl w:val="0"/>
          <w:numId w:val="1"/>
        </w:numPr>
        <w:spacing w:line="360" w:lineRule="auto"/>
        <w:jc w:val="both"/>
      </w:pPr>
      <w:r w:rsidRPr="0002189A">
        <w:t xml:space="preserve">Το συμφωνητικό του έργου υπογράφτηκε στις </w:t>
      </w:r>
      <w:r w:rsidR="00BA2559" w:rsidRPr="0002189A">
        <w:t>25</w:t>
      </w:r>
      <w:r w:rsidR="00377AA0" w:rsidRPr="0002189A">
        <w:t>-0</w:t>
      </w:r>
      <w:r w:rsidR="00BA2559" w:rsidRPr="0002189A">
        <w:t>2</w:t>
      </w:r>
      <w:r w:rsidR="00377AA0" w:rsidRPr="0002189A">
        <w:t>-201</w:t>
      </w:r>
      <w:r w:rsidR="00BA2559" w:rsidRPr="0002189A">
        <w:t>5</w:t>
      </w:r>
      <w:r w:rsidRPr="0002189A">
        <w:t xml:space="preserve"> με αρ. πρωτ.</w:t>
      </w:r>
      <w:r w:rsidR="00BA2559" w:rsidRPr="0002189A">
        <w:t>5432</w:t>
      </w:r>
      <w:r w:rsidRPr="0002189A">
        <w:t xml:space="preserve"> για συνολικό τίμημα </w:t>
      </w:r>
      <w:r w:rsidR="005B4347" w:rsidRPr="0002189A">
        <w:t>129</w:t>
      </w:r>
      <w:r w:rsidR="00377AA0" w:rsidRPr="0002189A">
        <w:t>.</w:t>
      </w:r>
      <w:r w:rsidR="005B4347" w:rsidRPr="0002189A">
        <w:t>406</w:t>
      </w:r>
      <w:r w:rsidR="00377AA0" w:rsidRPr="0002189A">
        <w:t>,</w:t>
      </w:r>
      <w:r w:rsidR="005B4347" w:rsidRPr="0002189A">
        <w:t xml:space="preserve">26 </w:t>
      </w:r>
      <w:r w:rsidRPr="0002189A">
        <w:t xml:space="preserve">€ εκ των οποίων </w:t>
      </w:r>
      <w:r w:rsidR="00CA3981" w:rsidRPr="0002189A">
        <w:t>75</w:t>
      </w:r>
      <w:r w:rsidR="00377AA0" w:rsidRPr="0002189A">
        <w:t>.</w:t>
      </w:r>
      <w:r w:rsidR="00CA3981" w:rsidRPr="0002189A">
        <w:t>019,35</w:t>
      </w:r>
      <w:r w:rsidRPr="0002189A">
        <w:t xml:space="preserve"> € ευρώ για εργασίες </w:t>
      </w:r>
      <w:r w:rsidR="00CA3981" w:rsidRPr="0002189A">
        <w:t>13</w:t>
      </w:r>
      <w:r w:rsidR="00377AA0" w:rsidRPr="0002189A">
        <w:t>.</w:t>
      </w:r>
      <w:r w:rsidR="00CA3981" w:rsidRPr="0002189A">
        <w:t>503</w:t>
      </w:r>
      <w:r w:rsidR="00377AA0" w:rsidRPr="0002189A">
        <w:t>,</w:t>
      </w:r>
      <w:r w:rsidR="00CA3981" w:rsidRPr="0002189A">
        <w:t xml:space="preserve">48 </w:t>
      </w:r>
      <w:r w:rsidRPr="0002189A">
        <w:t xml:space="preserve">€ για  </w:t>
      </w:r>
      <w:r w:rsidR="00377AA0" w:rsidRPr="0002189A">
        <w:t>1</w:t>
      </w:r>
      <w:r w:rsidRPr="0002189A">
        <w:t xml:space="preserve">8% ΓΕ &amp; Ο.Ε., το ποσό των </w:t>
      </w:r>
      <w:r w:rsidR="00CA3981" w:rsidRPr="0002189A">
        <w:t>13</w:t>
      </w:r>
      <w:r w:rsidR="00377AA0" w:rsidRPr="0002189A">
        <w:t>.</w:t>
      </w:r>
      <w:r w:rsidR="00CA3981" w:rsidRPr="0002189A">
        <w:t>278</w:t>
      </w:r>
      <w:r w:rsidR="00377AA0" w:rsidRPr="0002189A">
        <w:t>,</w:t>
      </w:r>
      <w:r w:rsidR="00CA3981" w:rsidRPr="0002189A">
        <w:t xml:space="preserve">42 </w:t>
      </w:r>
      <w:r w:rsidRPr="0002189A">
        <w:t xml:space="preserve">€ για απρόβλεπτα και για </w:t>
      </w:r>
      <w:r w:rsidR="00CA3981" w:rsidRPr="0002189A">
        <w:t>π</w:t>
      </w:r>
      <w:r w:rsidRPr="0002189A">
        <w:t>ιθανή αναθεώρηση</w:t>
      </w:r>
      <w:r w:rsidR="00377AA0" w:rsidRPr="0002189A">
        <w:t xml:space="preserve"> </w:t>
      </w:r>
      <w:r w:rsidRPr="0002189A">
        <w:t xml:space="preserve">ποσό των </w:t>
      </w:r>
      <w:r w:rsidR="00CA3981" w:rsidRPr="0002189A">
        <w:t>3</w:t>
      </w:r>
      <w:r w:rsidR="00377AA0" w:rsidRPr="0002189A">
        <w:t>.</w:t>
      </w:r>
      <w:r w:rsidR="00CA3981" w:rsidRPr="0002189A">
        <w:t>407</w:t>
      </w:r>
      <w:r w:rsidR="00377AA0" w:rsidRPr="0002189A">
        <w:t>,</w:t>
      </w:r>
      <w:r w:rsidR="00CA3981" w:rsidRPr="0002189A">
        <w:t xml:space="preserve">09 </w:t>
      </w:r>
      <w:r w:rsidRPr="0002189A">
        <w:t xml:space="preserve">€ και για Φ.Π.Α. 23% </w:t>
      </w:r>
      <w:r w:rsidR="00CA3981" w:rsidRPr="0002189A">
        <w:t>24</w:t>
      </w:r>
      <w:r w:rsidR="00377AA0" w:rsidRPr="0002189A">
        <w:t>.</w:t>
      </w:r>
      <w:r w:rsidR="00CA3981" w:rsidRPr="0002189A">
        <w:t>197</w:t>
      </w:r>
      <w:r w:rsidR="00377AA0" w:rsidRPr="0002189A">
        <w:t>,</w:t>
      </w:r>
      <w:r w:rsidR="00CA3981" w:rsidRPr="0002189A">
        <w:t>92</w:t>
      </w:r>
      <w:r w:rsidRPr="0002189A">
        <w:t xml:space="preserve"> €.</w:t>
      </w:r>
    </w:p>
    <w:p w:rsidR="00574637" w:rsidRPr="0002189A" w:rsidRDefault="00A174BB" w:rsidP="00706E1B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02189A">
        <w:t xml:space="preserve">Η έναρξη των εργασιών έγινε στις </w:t>
      </w:r>
      <w:r w:rsidR="00CA3981" w:rsidRPr="0002189A">
        <w:t>25</w:t>
      </w:r>
      <w:r w:rsidR="00377AA0" w:rsidRPr="0002189A">
        <w:t>-0</w:t>
      </w:r>
      <w:r w:rsidR="00CA3981" w:rsidRPr="0002189A">
        <w:t>2</w:t>
      </w:r>
      <w:r w:rsidR="00377AA0" w:rsidRPr="0002189A">
        <w:t>-201</w:t>
      </w:r>
      <w:r w:rsidR="00CA3981" w:rsidRPr="0002189A">
        <w:t>5</w:t>
      </w:r>
      <w:r w:rsidRPr="0002189A">
        <w:t xml:space="preserve"> με συμβατικό χρόνο περαίωσης </w:t>
      </w:r>
      <w:r w:rsidR="00377AA0" w:rsidRPr="0002189A">
        <w:t xml:space="preserve">τους </w:t>
      </w:r>
      <w:r w:rsidR="00CA3981" w:rsidRPr="0002189A">
        <w:t>6</w:t>
      </w:r>
      <w:r w:rsidR="00377AA0" w:rsidRPr="0002189A">
        <w:t xml:space="preserve"> μήνες</w:t>
      </w:r>
      <w:r w:rsidRPr="0002189A">
        <w:t>.</w:t>
      </w:r>
    </w:p>
    <w:p w:rsidR="00A13F2C" w:rsidRPr="0002189A" w:rsidRDefault="00A13F2C" w:rsidP="00A13F2C">
      <w:pPr>
        <w:pStyle w:val="a3"/>
        <w:numPr>
          <w:ilvl w:val="0"/>
          <w:numId w:val="1"/>
        </w:numPr>
        <w:spacing w:line="360" w:lineRule="auto"/>
        <w:ind w:left="714" w:hanging="357"/>
        <w:jc w:val="both"/>
      </w:pPr>
      <w:r w:rsidRPr="0002189A">
        <w:t>Με την υπ' αριθμόν    233 /2015 απόφαση του Δ.Σ. του Δήμου Αγ. Παρασκευής εγκρίθηκε 1</w:t>
      </w:r>
      <w:r w:rsidRPr="0002189A">
        <w:rPr>
          <w:vertAlign w:val="superscript"/>
        </w:rPr>
        <w:t>η</w:t>
      </w:r>
      <w:r w:rsidRPr="0002189A">
        <w:t xml:space="preserve"> παράταση  προθεσμίας περαίωσης των εργασιών μέχρι την 15</w:t>
      </w:r>
      <w:r w:rsidRPr="0002189A">
        <w:rPr>
          <w:vertAlign w:val="superscript"/>
        </w:rPr>
        <w:t>η</w:t>
      </w:r>
      <w:r w:rsidRPr="0002189A">
        <w:t xml:space="preserve"> Οκτωβρίου 2015.</w:t>
      </w:r>
    </w:p>
    <w:p w:rsidR="0028318E" w:rsidRDefault="0028318E" w:rsidP="0028318E">
      <w:pPr>
        <w:pStyle w:val="a3"/>
        <w:numPr>
          <w:ilvl w:val="0"/>
          <w:numId w:val="1"/>
        </w:numPr>
        <w:spacing w:line="360" w:lineRule="auto"/>
        <w:ind w:left="714" w:hanging="357"/>
        <w:jc w:val="both"/>
      </w:pPr>
      <w:r w:rsidRPr="0002189A">
        <w:t xml:space="preserve">Με την υπ' αριθμόν </w:t>
      </w:r>
      <w:r w:rsidR="0002189A" w:rsidRPr="0002189A">
        <w:t xml:space="preserve"> </w:t>
      </w:r>
      <w:r w:rsidRPr="0002189A">
        <w:t xml:space="preserve"> </w:t>
      </w:r>
      <w:r w:rsidR="009E3C96" w:rsidRPr="009E3C96">
        <w:t>280</w:t>
      </w:r>
      <w:r w:rsidRPr="0002189A">
        <w:t>/2015 απόφαση του Δ.Σ. του Δήμου Αγ. Παρασκευής εγκρίθηκε 2</w:t>
      </w:r>
      <w:r w:rsidRPr="0002189A">
        <w:rPr>
          <w:vertAlign w:val="superscript"/>
        </w:rPr>
        <w:t>η</w:t>
      </w:r>
      <w:r w:rsidRPr="0002189A">
        <w:t xml:space="preserve"> παράταση  προθεσμίας περαίωσης των εργασιών μέχρι την 20</w:t>
      </w:r>
      <w:r w:rsidRPr="0002189A">
        <w:rPr>
          <w:vertAlign w:val="superscript"/>
        </w:rPr>
        <w:t>η</w:t>
      </w:r>
      <w:r w:rsidRPr="0002189A">
        <w:t xml:space="preserve"> Νοεμβρίου 2015.</w:t>
      </w:r>
    </w:p>
    <w:p w:rsidR="00E91C43" w:rsidRPr="00E91C43" w:rsidRDefault="00E91C43" w:rsidP="00E91C43">
      <w:pPr>
        <w:pStyle w:val="a3"/>
        <w:numPr>
          <w:ilvl w:val="0"/>
          <w:numId w:val="1"/>
        </w:numPr>
      </w:pPr>
      <w:r w:rsidRPr="00E91C43">
        <w:t xml:space="preserve">Το έργο περαιώθηκε εμπρόθεσμα στις </w:t>
      </w:r>
      <w:r>
        <w:t>20-11</w:t>
      </w:r>
      <w:r w:rsidRPr="00E91C43">
        <w:t>-2015, σύμφωνα με την</w:t>
      </w:r>
      <w:r w:rsidR="00691BB4">
        <w:t xml:space="preserve"> Βεβαίωση </w:t>
      </w:r>
      <w:proofErr w:type="spellStart"/>
      <w:r w:rsidR="00691BB4">
        <w:t>περαιωσης</w:t>
      </w:r>
      <w:proofErr w:type="spellEnd"/>
      <w:r w:rsidR="00691BB4">
        <w:t xml:space="preserve"> </w:t>
      </w:r>
      <w:proofErr w:type="spellStart"/>
      <w:r w:rsidR="00691BB4">
        <w:t>εργασιων</w:t>
      </w:r>
      <w:proofErr w:type="spellEnd"/>
      <w:r w:rsidR="00691BB4">
        <w:t xml:space="preserve">  με </w:t>
      </w:r>
      <w:proofErr w:type="spellStart"/>
      <w:r w:rsidR="00691BB4">
        <w:t>ημερομηνια</w:t>
      </w:r>
      <w:proofErr w:type="spellEnd"/>
      <w:r w:rsidR="00691BB4">
        <w:t xml:space="preserve">  10-12-2015</w:t>
      </w:r>
      <w:r w:rsidRPr="00E91C43">
        <w:t xml:space="preserve"> του </w:t>
      </w:r>
      <w:r>
        <w:t>Διευθυντή</w:t>
      </w:r>
      <w:r w:rsidRPr="00E91C43">
        <w:t xml:space="preserve"> της δ/νσης τεχνικών υπηρεσιών του δήμου </w:t>
      </w:r>
      <w:r>
        <w:t>Αγίας Παρασκευής</w:t>
      </w:r>
      <w:r w:rsidRPr="00E91C43">
        <w:t>.</w:t>
      </w:r>
    </w:p>
    <w:p w:rsidR="00A13F2C" w:rsidRDefault="00A13F2C" w:rsidP="00CA3981">
      <w:pPr>
        <w:pStyle w:val="a3"/>
        <w:jc w:val="both"/>
      </w:pPr>
    </w:p>
    <w:p w:rsidR="000C4C7A" w:rsidRDefault="000C4C7A" w:rsidP="00CA3981">
      <w:pPr>
        <w:pStyle w:val="a3"/>
        <w:jc w:val="both"/>
      </w:pPr>
    </w:p>
    <w:p w:rsidR="000C4C7A" w:rsidRDefault="000C4C7A" w:rsidP="00CA3981">
      <w:pPr>
        <w:pStyle w:val="a3"/>
        <w:jc w:val="both"/>
      </w:pPr>
    </w:p>
    <w:p w:rsidR="000C4C7A" w:rsidRPr="00E91C43" w:rsidRDefault="000C4C7A" w:rsidP="00CA3981">
      <w:pPr>
        <w:pStyle w:val="a3"/>
        <w:jc w:val="both"/>
      </w:pPr>
    </w:p>
    <w:p w:rsidR="00A174BB" w:rsidRPr="0002189A" w:rsidRDefault="007543BF" w:rsidP="00A174BB">
      <w:pPr>
        <w:rPr>
          <w:b/>
        </w:rPr>
      </w:pPr>
      <w:r w:rsidRPr="0002189A">
        <w:rPr>
          <w:b/>
        </w:rPr>
        <w:lastRenderedPageBreak/>
        <w:t>Β.</w:t>
      </w:r>
      <w:r w:rsidR="00574637" w:rsidRPr="0002189A">
        <w:rPr>
          <w:b/>
        </w:rPr>
        <w:t xml:space="preserve">   </w:t>
      </w:r>
      <w:r w:rsidRPr="0002189A">
        <w:rPr>
          <w:b/>
        </w:rPr>
        <w:t xml:space="preserve"> </w:t>
      </w:r>
      <w:r w:rsidR="00E91C43">
        <w:rPr>
          <w:b/>
        </w:rPr>
        <w:t>2</w:t>
      </w:r>
      <w:r w:rsidR="00E95C10" w:rsidRPr="0002189A">
        <w:rPr>
          <w:b/>
        </w:rPr>
        <w:t xml:space="preserve">ος </w:t>
      </w:r>
      <w:r w:rsidR="00574637" w:rsidRPr="0002189A">
        <w:rPr>
          <w:b/>
        </w:rPr>
        <w:t xml:space="preserve"> </w:t>
      </w:r>
      <w:r w:rsidR="00E95C10" w:rsidRPr="0002189A">
        <w:rPr>
          <w:b/>
        </w:rPr>
        <w:t>Α.Π.Ε.</w:t>
      </w:r>
    </w:p>
    <w:p w:rsidR="007D0C65" w:rsidRDefault="00A174BB" w:rsidP="007D0C65">
      <w:pPr>
        <w:spacing w:line="360" w:lineRule="auto"/>
        <w:ind w:firstLine="720"/>
        <w:jc w:val="both"/>
      </w:pPr>
      <w:r w:rsidRPr="0002189A">
        <w:t xml:space="preserve">Ο </w:t>
      </w:r>
      <w:r w:rsidR="00E91C43">
        <w:t>2</w:t>
      </w:r>
      <w:r w:rsidRPr="0002189A">
        <w:t xml:space="preserve">ος </w:t>
      </w:r>
      <w:proofErr w:type="spellStart"/>
      <w:r w:rsidR="00691BB4">
        <w:t>Τ.</w:t>
      </w:r>
      <w:r w:rsidRPr="0002189A">
        <w:t>Ανακεφαλαιωτικός</w:t>
      </w:r>
      <w:proofErr w:type="spellEnd"/>
      <w:r w:rsidRPr="0002189A">
        <w:t xml:space="preserve"> Πίνακας συντάχθηκε για να </w:t>
      </w:r>
      <w:r w:rsidR="00E91C43">
        <w:t>τακτοποιήσει</w:t>
      </w:r>
      <w:r w:rsidRPr="0002189A">
        <w:t xml:space="preserve"> τις αυξομειώσεις </w:t>
      </w:r>
      <w:r w:rsidR="00CA3981" w:rsidRPr="0002189A">
        <w:t xml:space="preserve">των </w:t>
      </w:r>
      <w:r w:rsidR="00574637" w:rsidRPr="0002189A">
        <w:t>ποσ</w:t>
      </w:r>
      <w:r w:rsidR="00E91C43">
        <w:t>οτήτων των εργασιών</w:t>
      </w:r>
      <w:r w:rsidR="00574637" w:rsidRPr="0002189A">
        <w:t xml:space="preserve"> </w:t>
      </w:r>
      <w:r w:rsidRPr="0002189A">
        <w:t xml:space="preserve">όπως αυτές </w:t>
      </w:r>
      <w:r w:rsidR="00574637" w:rsidRPr="0002189A">
        <w:t xml:space="preserve">πρόεκυψαν </w:t>
      </w:r>
      <w:r w:rsidRPr="0002189A">
        <w:t xml:space="preserve"> κατά </w:t>
      </w:r>
      <w:r w:rsidR="00CA3981" w:rsidRPr="0002189A">
        <w:t xml:space="preserve">την </w:t>
      </w:r>
      <w:r w:rsidR="00E91C43">
        <w:t>ολοκλήρωση</w:t>
      </w:r>
      <w:r w:rsidR="00CA3981" w:rsidRPr="0002189A">
        <w:t xml:space="preserve"> </w:t>
      </w:r>
      <w:r w:rsidR="007C3775" w:rsidRPr="0002189A">
        <w:t>εκτέλεσης</w:t>
      </w:r>
      <w:r w:rsidR="00CA3981" w:rsidRPr="0002189A">
        <w:t xml:space="preserve"> του έργου </w:t>
      </w:r>
      <w:r w:rsidR="00E91C43">
        <w:t xml:space="preserve">και </w:t>
      </w:r>
      <w:r w:rsidR="00E91C43" w:rsidRPr="002C0F2D">
        <w:t>είναι σύμφωνες με τις τελικές επιμετρήσεις.</w:t>
      </w:r>
    </w:p>
    <w:p w:rsidR="008B02DA" w:rsidRPr="008B02DA" w:rsidRDefault="008B02DA" w:rsidP="008B02DA">
      <w:pPr>
        <w:jc w:val="both"/>
      </w:pPr>
      <w:r w:rsidRPr="008B02DA">
        <w:t xml:space="preserve">Οι προτεινόμενες με τον παρόντα 2ο ΑΠΕ μεταβολές ποσοτήτων είναι μέσα στο χωρικό και οικονομικό αντικείμενο της αρχικής σύμβασης, λαμβανομένου υπ’ όψιν του άρθρου 57 παρ. 3 και 4 του Ν.3669/2008 (ΚΔΕ) και  του άρθρου 11 παρ. 4 της Διακήρυξης του έργου. </w:t>
      </w:r>
    </w:p>
    <w:p w:rsidR="008B02DA" w:rsidRPr="008B02DA" w:rsidRDefault="008B02DA" w:rsidP="008B02DA">
      <w:pPr>
        <w:jc w:val="both"/>
        <w:rPr>
          <w:b/>
          <w:u w:val="single"/>
        </w:rPr>
      </w:pPr>
      <w:r w:rsidRPr="008B02DA">
        <w:rPr>
          <w:b/>
          <w:u w:val="single"/>
        </w:rPr>
        <w:t xml:space="preserve">Σημειώνεται ότι σε καμία περίπτωση δεν τροποποιείται το "βασικό σχέδιο" του έργου, δηλαδή η όλη κατασκευή, ούτε και τα βασικά διακριτά στοιχεία της, όπως αυτά προβλέπονται από την αρχική σύμβαση, δεν θίγεται η πληρότητα, η ποιότητα και η λειτουργικότητα του έργου, δεν καταργείται καμία ομάδα εργασιών της αρχικής σύμβασης και δεν  τροποποιούνται οι προδιαγραφές του έργου. </w:t>
      </w:r>
    </w:p>
    <w:p w:rsidR="008B02DA" w:rsidRPr="0002189A" w:rsidRDefault="008B02DA" w:rsidP="007D0C65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7543BF" w:rsidRDefault="007543BF" w:rsidP="007D0C65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 w:rsidRPr="0002189A">
        <w:t xml:space="preserve">Η συνολική δαπάνη που προτείνεται με τον παρόντα  </w:t>
      </w:r>
      <w:r w:rsidR="00E91C43">
        <w:t>2</w:t>
      </w:r>
      <w:r w:rsidRPr="0002189A">
        <w:t>ο  Ανακεφαλαιωτικό Πίνακα Εργασιών αναλύεται ως εξής:</w:t>
      </w:r>
    </w:p>
    <w:p w:rsidR="007543BF" w:rsidRPr="0002189A" w:rsidRDefault="007543BF" w:rsidP="0028318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189A">
        <w:rPr>
          <w:rFonts w:ascii="Arial" w:hAnsi="Arial" w:cs="Arial"/>
          <w:b/>
          <w:sz w:val="22"/>
          <w:szCs w:val="22"/>
          <w:u w:val="single"/>
        </w:rPr>
        <w:t>ΑΡΧΙΚΟ ΣΥΜΒΑΤΙΚΟ ΠΟΣΟ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Δαπάνη συμβατικών εργασιών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  75</w:t>
      </w:r>
      <w:r w:rsidR="005D5785" w:rsidRPr="0002189A">
        <w:rPr>
          <w:rFonts w:ascii="Arial" w:hAnsi="Arial" w:cs="Arial"/>
          <w:sz w:val="20"/>
          <w:szCs w:val="20"/>
        </w:rPr>
        <w:t>.0</w:t>
      </w:r>
      <w:r w:rsidR="007F12DF" w:rsidRPr="0002189A">
        <w:rPr>
          <w:rFonts w:ascii="Arial" w:hAnsi="Arial" w:cs="Arial"/>
          <w:sz w:val="20"/>
          <w:szCs w:val="20"/>
        </w:rPr>
        <w:t>19</w:t>
      </w:r>
      <w:r w:rsidR="005D5785" w:rsidRPr="0002189A">
        <w:rPr>
          <w:rFonts w:ascii="Arial" w:hAnsi="Arial" w:cs="Arial"/>
          <w:sz w:val="20"/>
          <w:szCs w:val="20"/>
        </w:rPr>
        <w:t>,</w:t>
      </w:r>
      <w:r w:rsidR="007F12DF" w:rsidRPr="0002189A">
        <w:rPr>
          <w:rFonts w:ascii="Arial" w:hAnsi="Arial" w:cs="Arial"/>
          <w:sz w:val="20"/>
          <w:szCs w:val="20"/>
        </w:rPr>
        <w:t>35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ΓΕ + ΟΕ </w:t>
      </w:r>
      <w:r w:rsidR="005D5785" w:rsidRPr="0002189A">
        <w:rPr>
          <w:rFonts w:ascii="Arial" w:hAnsi="Arial" w:cs="Arial"/>
          <w:sz w:val="20"/>
          <w:szCs w:val="20"/>
        </w:rPr>
        <w:t>1</w:t>
      </w:r>
      <w:r w:rsidRPr="0002189A">
        <w:rPr>
          <w:rFonts w:ascii="Arial" w:hAnsi="Arial" w:cs="Arial"/>
          <w:sz w:val="20"/>
          <w:szCs w:val="20"/>
        </w:rPr>
        <w:t xml:space="preserve">8%                                                                    </w:t>
      </w:r>
      <w:r w:rsidR="005D5785" w:rsidRPr="0002189A">
        <w:rPr>
          <w:rFonts w:ascii="Arial" w:hAnsi="Arial" w:cs="Arial"/>
          <w:sz w:val="20"/>
          <w:szCs w:val="20"/>
        </w:rPr>
        <w:t xml:space="preserve">  </w:t>
      </w:r>
      <w:r w:rsidR="007F12DF" w:rsidRPr="0002189A">
        <w:rPr>
          <w:rFonts w:ascii="Arial" w:hAnsi="Arial" w:cs="Arial"/>
          <w:sz w:val="20"/>
          <w:szCs w:val="20"/>
        </w:rPr>
        <w:t xml:space="preserve">    13</w:t>
      </w:r>
      <w:r w:rsidR="005D5785"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503</w:t>
      </w:r>
      <w:r w:rsidR="005D5785" w:rsidRPr="0002189A">
        <w:rPr>
          <w:rFonts w:ascii="Arial" w:hAnsi="Arial" w:cs="Arial"/>
          <w:sz w:val="20"/>
          <w:szCs w:val="20"/>
        </w:rPr>
        <w:t>,</w:t>
      </w:r>
      <w:r w:rsidR="007F12DF" w:rsidRPr="0002189A">
        <w:rPr>
          <w:rFonts w:ascii="Arial" w:hAnsi="Arial" w:cs="Arial"/>
          <w:sz w:val="20"/>
          <w:szCs w:val="20"/>
        </w:rPr>
        <w:t>48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Απρόβλεπτα            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   13</w:t>
      </w:r>
      <w:r w:rsidR="005D5785"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278,42</w:t>
      </w:r>
      <w:r w:rsidRPr="0002189A">
        <w:rPr>
          <w:rFonts w:ascii="Arial" w:hAnsi="Arial" w:cs="Arial"/>
          <w:sz w:val="20"/>
          <w:szCs w:val="20"/>
        </w:rPr>
        <w:t xml:space="preserve"> Ευρώ 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Αναθεώρηση          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</w:t>
      </w:r>
      <w:r w:rsidRPr="0002189A">
        <w:rPr>
          <w:rFonts w:ascii="Arial" w:hAnsi="Arial" w:cs="Arial"/>
          <w:sz w:val="20"/>
          <w:szCs w:val="20"/>
        </w:rPr>
        <w:t xml:space="preserve">   </w:t>
      </w:r>
      <w:r w:rsidR="007F12DF" w:rsidRPr="0002189A">
        <w:rPr>
          <w:rFonts w:ascii="Arial" w:hAnsi="Arial" w:cs="Arial"/>
          <w:sz w:val="20"/>
          <w:szCs w:val="20"/>
        </w:rPr>
        <w:t xml:space="preserve">   3</w:t>
      </w:r>
      <w:r w:rsidR="00574637" w:rsidRPr="0002189A">
        <w:rPr>
          <w:rFonts w:ascii="Arial" w:hAnsi="Arial" w:cs="Arial"/>
          <w:sz w:val="20"/>
          <w:szCs w:val="20"/>
        </w:rPr>
        <w:t>.4</w:t>
      </w:r>
      <w:r w:rsidR="007F12DF" w:rsidRPr="0002189A">
        <w:rPr>
          <w:rFonts w:ascii="Arial" w:hAnsi="Arial" w:cs="Arial"/>
          <w:sz w:val="20"/>
          <w:szCs w:val="20"/>
        </w:rPr>
        <w:t>07</w:t>
      </w:r>
      <w:r w:rsidRPr="0002189A">
        <w:rPr>
          <w:rFonts w:ascii="Arial" w:hAnsi="Arial" w:cs="Arial"/>
          <w:sz w:val="20"/>
          <w:szCs w:val="20"/>
        </w:rPr>
        <w:t>,</w:t>
      </w:r>
      <w:r w:rsidR="008613C3" w:rsidRPr="0002189A">
        <w:rPr>
          <w:rFonts w:ascii="Arial" w:hAnsi="Arial" w:cs="Arial"/>
          <w:sz w:val="20"/>
          <w:szCs w:val="20"/>
        </w:rPr>
        <w:t>09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Συνολική εγκεκριμένη δαπάνη εργασιών χωρίς Φ.Π.Α.    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="008613C3" w:rsidRPr="0002189A">
        <w:rPr>
          <w:rFonts w:ascii="Arial" w:hAnsi="Arial" w:cs="Arial"/>
          <w:sz w:val="20"/>
          <w:szCs w:val="20"/>
        </w:rPr>
        <w:t>105.208,34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Δαπάνη Φ.Π.Α. 23%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   24</w:t>
      </w:r>
      <w:r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197</w:t>
      </w:r>
      <w:r w:rsidRPr="0002189A">
        <w:rPr>
          <w:rFonts w:ascii="Arial" w:hAnsi="Arial" w:cs="Arial"/>
          <w:sz w:val="20"/>
          <w:szCs w:val="20"/>
        </w:rPr>
        <w:t>,</w:t>
      </w:r>
      <w:r w:rsidR="007F12DF" w:rsidRPr="0002189A">
        <w:rPr>
          <w:rFonts w:ascii="Arial" w:hAnsi="Arial" w:cs="Arial"/>
          <w:sz w:val="20"/>
          <w:szCs w:val="20"/>
        </w:rPr>
        <w:t>9</w:t>
      </w:r>
      <w:r w:rsidR="008613C3" w:rsidRPr="0002189A">
        <w:rPr>
          <w:rFonts w:ascii="Arial" w:hAnsi="Arial" w:cs="Arial"/>
          <w:sz w:val="20"/>
          <w:szCs w:val="20"/>
        </w:rPr>
        <w:t>2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7543BF" w:rsidRPr="0002189A" w:rsidRDefault="007543BF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Συνολική εγκεκριμένη δαπάνη (με Φ.Π.Α. </w:t>
      </w:r>
      <w:r w:rsidR="00311CCA" w:rsidRPr="0002189A">
        <w:rPr>
          <w:rFonts w:ascii="Arial" w:hAnsi="Arial" w:cs="Arial"/>
          <w:sz w:val="20"/>
          <w:szCs w:val="20"/>
        </w:rPr>
        <w:t>23</w:t>
      </w:r>
      <w:r w:rsidRPr="0002189A">
        <w:rPr>
          <w:rFonts w:ascii="Arial" w:hAnsi="Arial" w:cs="Arial"/>
          <w:sz w:val="20"/>
          <w:szCs w:val="20"/>
        </w:rPr>
        <w:t xml:space="preserve">%)                 </w:t>
      </w:r>
      <w:r w:rsidR="00574637" w:rsidRPr="0002189A">
        <w:rPr>
          <w:rFonts w:ascii="Arial" w:hAnsi="Arial" w:cs="Arial"/>
          <w:sz w:val="20"/>
          <w:szCs w:val="20"/>
        </w:rPr>
        <w:t xml:space="preserve"> </w:t>
      </w:r>
      <w:r w:rsidR="007F12DF" w:rsidRPr="0002189A">
        <w:rPr>
          <w:rFonts w:ascii="Arial" w:hAnsi="Arial" w:cs="Arial"/>
          <w:sz w:val="20"/>
          <w:szCs w:val="20"/>
        </w:rPr>
        <w:t>129</w:t>
      </w:r>
      <w:r w:rsidR="00574637"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406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8613C3" w:rsidRPr="0002189A">
        <w:rPr>
          <w:rFonts w:ascii="Arial" w:hAnsi="Arial" w:cs="Arial"/>
          <w:sz w:val="20"/>
          <w:szCs w:val="20"/>
        </w:rPr>
        <w:t>26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0C4C7A" w:rsidRDefault="000C4C7A" w:rsidP="002831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7543BF" w:rsidRPr="0002189A" w:rsidRDefault="007543BF" w:rsidP="0028318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2189A">
        <w:rPr>
          <w:rFonts w:ascii="Arial" w:hAnsi="Arial" w:cs="Arial"/>
          <w:b/>
          <w:sz w:val="20"/>
          <w:szCs w:val="20"/>
        </w:rPr>
        <w:t xml:space="preserve">2.        </w:t>
      </w:r>
      <w:r w:rsidR="00E91C43">
        <w:rPr>
          <w:rFonts w:ascii="Arial" w:hAnsi="Arial" w:cs="Arial"/>
          <w:b/>
          <w:sz w:val="20"/>
          <w:szCs w:val="20"/>
        </w:rPr>
        <w:t>ΕΓΚΡΙΘΕΙΣΑ</w:t>
      </w:r>
      <w:r w:rsidRPr="0002189A">
        <w:rPr>
          <w:rFonts w:ascii="Arial" w:hAnsi="Arial" w:cs="Arial"/>
          <w:b/>
          <w:sz w:val="20"/>
          <w:szCs w:val="20"/>
        </w:rPr>
        <w:t xml:space="preserve"> ΔΑΠΑΝΗ 1ου </w:t>
      </w:r>
      <w:r w:rsidR="007F12DF" w:rsidRPr="0002189A">
        <w:rPr>
          <w:rFonts w:ascii="Arial" w:hAnsi="Arial" w:cs="Arial"/>
          <w:b/>
          <w:sz w:val="20"/>
          <w:szCs w:val="20"/>
        </w:rPr>
        <w:t xml:space="preserve">  </w:t>
      </w:r>
      <w:r w:rsidRPr="0002189A">
        <w:rPr>
          <w:rFonts w:ascii="Arial" w:hAnsi="Arial" w:cs="Arial"/>
          <w:b/>
          <w:sz w:val="20"/>
          <w:szCs w:val="20"/>
        </w:rPr>
        <w:t>Α.Π.Ε.</w:t>
      </w:r>
      <w:r w:rsidR="007F12DF" w:rsidRPr="0002189A">
        <w:rPr>
          <w:rFonts w:ascii="Arial" w:hAnsi="Arial" w:cs="Arial"/>
          <w:b/>
          <w:sz w:val="20"/>
          <w:szCs w:val="20"/>
        </w:rPr>
        <w:t xml:space="preserve"> </w:t>
      </w:r>
    </w:p>
    <w:p w:rsidR="00A13F2C" w:rsidRPr="0002189A" w:rsidRDefault="00A13F2C" w:rsidP="007543B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Δαπάνη συμβατικών εργασιών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</w:t>
      </w:r>
      <w:r w:rsidRPr="0002189A">
        <w:rPr>
          <w:rFonts w:ascii="Arial" w:hAnsi="Arial" w:cs="Arial"/>
          <w:sz w:val="20"/>
          <w:szCs w:val="20"/>
        </w:rPr>
        <w:t xml:space="preserve">          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               </w:t>
      </w:r>
      <w:r w:rsidR="009E3C96" w:rsidRPr="00F60688">
        <w:rPr>
          <w:rFonts w:ascii="Arial" w:hAnsi="Arial" w:cs="Arial"/>
          <w:sz w:val="20"/>
          <w:szCs w:val="20"/>
        </w:rPr>
        <w:t xml:space="preserve"> </w:t>
      </w:r>
      <w:r w:rsidR="007F12DF" w:rsidRPr="0002189A">
        <w:rPr>
          <w:rFonts w:ascii="Arial" w:hAnsi="Arial" w:cs="Arial"/>
          <w:sz w:val="20"/>
          <w:szCs w:val="20"/>
        </w:rPr>
        <w:t>8</w:t>
      </w:r>
      <w:r w:rsidR="009E3C96" w:rsidRPr="00F60688">
        <w:rPr>
          <w:rFonts w:ascii="Arial" w:hAnsi="Arial" w:cs="Arial"/>
          <w:sz w:val="20"/>
          <w:szCs w:val="20"/>
        </w:rPr>
        <w:t>6</w:t>
      </w:r>
      <w:r w:rsidR="00574637" w:rsidRPr="0002189A">
        <w:rPr>
          <w:rFonts w:ascii="Arial" w:hAnsi="Arial" w:cs="Arial"/>
          <w:sz w:val="20"/>
          <w:szCs w:val="20"/>
        </w:rPr>
        <w:t>.</w:t>
      </w:r>
      <w:r w:rsidR="009E3C96" w:rsidRPr="00F60688">
        <w:rPr>
          <w:rFonts w:ascii="Arial" w:hAnsi="Arial" w:cs="Arial"/>
          <w:sz w:val="20"/>
          <w:szCs w:val="20"/>
        </w:rPr>
        <w:t>224</w:t>
      </w:r>
      <w:r w:rsidRPr="0002189A">
        <w:rPr>
          <w:rFonts w:ascii="Arial" w:hAnsi="Arial" w:cs="Arial"/>
          <w:sz w:val="20"/>
          <w:szCs w:val="20"/>
        </w:rPr>
        <w:t>,</w:t>
      </w:r>
      <w:r w:rsidR="008D7813" w:rsidRPr="008D7813">
        <w:rPr>
          <w:rFonts w:ascii="Arial" w:hAnsi="Arial" w:cs="Arial"/>
          <w:sz w:val="20"/>
          <w:szCs w:val="20"/>
        </w:rPr>
        <w:t>9</w:t>
      </w:r>
      <w:r w:rsidR="009E3C96" w:rsidRPr="00F60688">
        <w:rPr>
          <w:rFonts w:ascii="Arial" w:hAnsi="Arial" w:cs="Arial"/>
          <w:sz w:val="20"/>
          <w:szCs w:val="20"/>
        </w:rPr>
        <w:t>7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ΓΕ + ΟΕ </w:t>
      </w:r>
      <w:r w:rsidR="008D4FB4" w:rsidRPr="0002189A">
        <w:rPr>
          <w:rFonts w:ascii="Arial" w:hAnsi="Arial" w:cs="Arial"/>
          <w:sz w:val="20"/>
          <w:szCs w:val="20"/>
        </w:rPr>
        <w:t>1</w:t>
      </w:r>
      <w:r w:rsidRPr="0002189A">
        <w:rPr>
          <w:rFonts w:ascii="Arial" w:hAnsi="Arial" w:cs="Arial"/>
          <w:sz w:val="20"/>
          <w:szCs w:val="20"/>
        </w:rPr>
        <w:t xml:space="preserve">8% 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        </w:t>
      </w:r>
      <w:r w:rsidR="007F12DF" w:rsidRPr="0002189A">
        <w:rPr>
          <w:rFonts w:ascii="Arial" w:hAnsi="Arial" w:cs="Arial"/>
          <w:sz w:val="20"/>
          <w:szCs w:val="20"/>
        </w:rPr>
        <w:t xml:space="preserve">   </w:t>
      </w:r>
      <w:r w:rsidRPr="0002189A">
        <w:rPr>
          <w:rFonts w:ascii="Arial" w:hAnsi="Arial" w:cs="Arial"/>
          <w:sz w:val="20"/>
          <w:szCs w:val="20"/>
        </w:rPr>
        <w:t xml:space="preserve"> </w:t>
      </w:r>
      <w:r w:rsidR="009E3C96" w:rsidRPr="00F60688">
        <w:rPr>
          <w:rFonts w:ascii="Arial" w:hAnsi="Arial" w:cs="Arial"/>
          <w:sz w:val="20"/>
          <w:szCs w:val="20"/>
        </w:rPr>
        <w:t xml:space="preserve"> </w:t>
      </w:r>
      <w:r w:rsidR="00574637" w:rsidRPr="0002189A">
        <w:rPr>
          <w:rFonts w:ascii="Arial" w:hAnsi="Arial" w:cs="Arial"/>
          <w:sz w:val="20"/>
          <w:szCs w:val="20"/>
        </w:rPr>
        <w:t xml:space="preserve"> </w:t>
      </w:r>
      <w:r w:rsidR="007F12DF" w:rsidRPr="0002189A">
        <w:rPr>
          <w:rFonts w:ascii="Arial" w:hAnsi="Arial" w:cs="Arial"/>
          <w:sz w:val="20"/>
          <w:szCs w:val="20"/>
        </w:rPr>
        <w:t>15</w:t>
      </w:r>
      <w:r w:rsidR="00574637" w:rsidRPr="0002189A">
        <w:rPr>
          <w:rFonts w:ascii="Arial" w:hAnsi="Arial" w:cs="Arial"/>
          <w:sz w:val="20"/>
          <w:szCs w:val="20"/>
        </w:rPr>
        <w:t>.</w:t>
      </w:r>
      <w:r w:rsidR="009E3C96" w:rsidRPr="009E3C96">
        <w:rPr>
          <w:rFonts w:ascii="Arial" w:hAnsi="Arial" w:cs="Arial"/>
          <w:sz w:val="20"/>
          <w:szCs w:val="20"/>
        </w:rPr>
        <w:t>520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9E3C96" w:rsidRPr="009E3C96">
        <w:rPr>
          <w:rFonts w:ascii="Arial" w:hAnsi="Arial" w:cs="Arial"/>
          <w:sz w:val="20"/>
          <w:szCs w:val="20"/>
        </w:rPr>
        <w:t>49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Απρόβλεπτα    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         </w:t>
      </w:r>
      <w:r w:rsidR="00574637" w:rsidRPr="0002189A">
        <w:rPr>
          <w:rFonts w:ascii="Arial" w:hAnsi="Arial" w:cs="Arial"/>
          <w:sz w:val="20"/>
          <w:szCs w:val="20"/>
        </w:rPr>
        <w:t xml:space="preserve">   </w:t>
      </w:r>
      <w:r w:rsidR="009E3C96" w:rsidRPr="00F60688">
        <w:rPr>
          <w:rFonts w:ascii="Arial" w:hAnsi="Arial" w:cs="Arial"/>
          <w:sz w:val="20"/>
          <w:szCs w:val="20"/>
        </w:rPr>
        <w:t xml:space="preserve"> </w:t>
      </w:r>
      <w:r w:rsidR="00574637" w:rsidRPr="0002189A">
        <w:rPr>
          <w:rFonts w:ascii="Arial" w:hAnsi="Arial" w:cs="Arial"/>
          <w:sz w:val="20"/>
          <w:szCs w:val="20"/>
        </w:rPr>
        <w:t xml:space="preserve">  </w:t>
      </w:r>
      <w:r w:rsidR="009E3C96" w:rsidRPr="009E3C96">
        <w:rPr>
          <w:rFonts w:ascii="Arial" w:hAnsi="Arial" w:cs="Arial"/>
          <w:sz w:val="20"/>
          <w:szCs w:val="20"/>
        </w:rPr>
        <w:t xml:space="preserve">     55</w:t>
      </w:r>
      <w:r w:rsidR="007F12DF" w:rsidRPr="0002189A">
        <w:rPr>
          <w:rFonts w:ascii="Arial" w:hAnsi="Arial" w:cs="Arial"/>
          <w:sz w:val="20"/>
          <w:szCs w:val="20"/>
        </w:rPr>
        <w:t>,</w:t>
      </w:r>
      <w:r w:rsidR="009E3C96" w:rsidRPr="009E3C96">
        <w:rPr>
          <w:rFonts w:ascii="Arial" w:hAnsi="Arial" w:cs="Arial"/>
          <w:sz w:val="20"/>
          <w:szCs w:val="20"/>
        </w:rPr>
        <w:t>79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Ευρώ 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Αναθεώρηση                                            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   </w:t>
      </w:r>
      <w:r w:rsidRPr="0002189A">
        <w:rPr>
          <w:rFonts w:ascii="Arial" w:hAnsi="Arial" w:cs="Arial"/>
          <w:sz w:val="20"/>
          <w:szCs w:val="20"/>
        </w:rPr>
        <w:t xml:space="preserve">          </w:t>
      </w:r>
      <w:r w:rsidR="009E3C96" w:rsidRPr="009E3C96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  </w:t>
      </w:r>
      <w:r w:rsidR="007F12DF" w:rsidRPr="0002189A">
        <w:rPr>
          <w:rFonts w:ascii="Arial" w:hAnsi="Arial" w:cs="Arial"/>
          <w:sz w:val="20"/>
          <w:szCs w:val="20"/>
        </w:rPr>
        <w:t>3</w:t>
      </w:r>
      <w:r w:rsidR="00574637" w:rsidRPr="0002189A">
        <w:rPr>
          <w:rFonts w:ascii="Arial" w:hAnsi="Arial" w:cs="Arial"/>
          <w:sz w:val="20"/>
          <w:szCs w:val="20"/>
        </w:rPr>
        <w:t>.4</w:t>
      </w:r>
      <w:r w:rsidR="007F12DF" w:rsidRPr="0002189A">
        <w:rPr>
          <w:rFonts w:ascii="Arial" w:hAnsi="Arial" w:cs="Arial"/>
          <w:sz w:val="20"/>
          <w:szCs w:val="20"/>
        </w:rPr>
        <w:t>07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8613C3" w:rsidRPr="0002189A">
        <w:rPr>
          <w:rFonts w:ascii="Arial" w:hAnsi="Arial" w:cs="Arial"/>
          <w:sz w:val="20"/>
          <w:szCs w:val="20"/>
        </w:rPr>
        <w:t>09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>Συνολική εγκεκριμένη δαπάνη εργασιών χωρίς Φ.Π.Α.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Pr="0002189A">
        <w:rPr>
          <w:rFonts w:ascii="Arial" w:hAnsi="Arial" w:cs="Arial"/>
          <w:sz w:val="20"/>
          <w:szCs w:val="20"/>
        </w:rPr>
        <w:t xml:space="preserve">  </w:t>
      </w:r>
      <w:r w:rsidR="00574637" w:rsidRPr="0002189A">
        <w:rPr>
          <w:rFonts w:ascii="Arial" w:hAnsi="Arial" w:cs="Arial"/>
          <w:sz w:val="20"/>
          <w:szCs w:val="20"/>
        </w:rPr>
        <w:t xml:space="preserve"> </w:t>
      </w:r>
      <w:r w:rsidR="007F12DF" w:rsidRPr="0002189A">
        <w:rPr>
          <w:rFonts w:ascii="Arial" w:hAnsi="Arial" w:cs="Arial"/>
          <w:sz w:val="20"/>
          <w:szCs w:val="20"/>
        </w:rPr>
        <w:t xml:space="preserve"> </w:t>
      </w:r>
      <w:r w:rsidR="009E3C96" w:rsidRPr="009E3C96">
        <w:rPr>
          <w:rFonts w:ascii="Arial" w:hAnsi="Arial" w:cs="Arial"/>
          <w:sz w:val="20"/>
          <w:szCs w:val="20"/>
        </w:rPr>
        <w:t xml:space="preserve"> </w:t>
      </w:r>
      <w:r w:rsidR="007F12DF" w:rsidRPr="0002189A">
        <w:rPr>
          <w:rFonts w:ascii="Arial" w:hAnsi="Arial" w:cs="Arial"/>
          <w:sz w:val="20"/>
          <w:szCs w:val="20"/>
        </w:rPr>
        <w:t>10</w:t>
      </w:r>
      <w:r w:rsidR="009E3C96" w:rsidRPr="00F60688">
        <w:rPr>
          <w:rFonts w:ascii="Arial" w:hAnsi="Arial" w:cs="Arial"/>
          <w:sz w:val="20"/>
          <w:szCs w:val="20"/>
        </w:rPr>
        <w:t>1</w:t>
      </w:r>
      <w:r w:rsidR="00574637"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208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8613C3" w:rsidRPr="0002189A">
        <w:rPr>
          <w:rFonts w:ascii="Arial" w:hAnsi="Arial" w:cs="Arial"/>
          <w:sz w:val="20"/>
          <w:szCs w:val="20"/>
        </w:rPr>
        <w:t>34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Δαπάνη Φ.Π.Α. 23%                                                           </w:t>
      </w:r>
      <w:r w:rsidR="00574637" w:rsidRPr="0002189A">
        <w:rPr>
          <w:rFonts w:ascii="Arial" w:hAnsi="Arial" w:cs="Arial"/>
          <w:sz w:val="20"/>
          <w:szCs w:val="20"/>
        </w:rPr>
        <w:t xml:space="preserve">  </w:t>
      </w:r>
      <w:r w:rsidR="007F12DF" w:rsidRPr="0002189A">
        <w:rPr>
          <w:rFonts w:ascii="Arial" w:hAnsi="Arial" w:cs="Arial"/>
          <w:sz w:val="20"/>
          <w:szCs w:val="20"/>
        </w:rPr>
        <w:t xml:space="preserve">   24</w:t>
      </w:r>
      <w:r w:rsidR="00574637" w:rsidRPr="0002189A">
        <w:rPr>
          <w:rFonts w:ascii="Arial" w:hAnsi="Arial" w:cs="Arial"/>
          <w:sz w:val="20"/>
          <w:szCs w:val="20"/>
        </w:rPr>
        <w:t>.</w:t>
      </w:r>
      <w:r w:rsidR="007F12DF" w:rsidRPr="0002189A">
        <w:rPr>
          <w:rFonts w:ascii="Arial" w:hAnsi="Arial" w:cs="Arial"/>
          <w:sz w:val="20"/>
          <w:szCs w:val="20"/>
        </w:rPr>
        <w:t>197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7F12DF" w:rsidRPr="0002189A">
        <w:rPr>
          <w:rFonts w:ascii="Arial" w:hAnsi="Arial" w:cs="Arial"/>
          <w:sz w:val="20"/>
          <w:szCs w:val="20"/>
        </w:rPr>
        <w:t>9</w:t>
      </w:r>
      <w:r w:rsidR="008613C3" w:rsidRPr="0002189A">
        <w:rPr>
          <w:rFonts w:ascii="Arial" w:hAnsi="Arial" w:cs="Arial"/>
          <w:sz w:val="20"/>
          <w:szCs w:val="20"/>
        </w:rPr>
        <w:t>2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311CCA" w:rsidRPr="0002189A" w:rsidRDefault="00311CCA" w:rsidP="00311C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Συνολική εγκεκριμένη δαπάνη (με Φ.Π.Α. 23%)                </w:t>
      </w:r>
      <w:r w:rsidR="007F12DF" w:rsidRPr="0002189A">
        <w:rPr>
          <w:rFonts w:ascii="Arial" w:hAnsi="Arial" w:cs="Arial"/>
          <w:sz w:val="20"/>
          <w:szCs w:val="20"/>
        </w:rPr>
        <w:t xml:space="preserve">  129.406</w:t>
      </w:r>
      <w:r w:rsidR="00574637" w:rsidRPr="0002189A">
        <w:rPr>
          <w:rFonts w:ascii="Arial" w:hAnsi="Arial" w:cs="Arial"/>
          <w:sz w:val="20"/>
          <w:szCs w:val="20"/>
        </w:rPr>
        <w:t>,</w:t>
      </w:r>
      <w:r w:rsidR="008613C3" w:rsidRPr="0002189A">
        <w:rPr>
          <w:rFonts w:ascii="Arial" w:hAnsi="Arial" w:cs="Arial"/>
          <w:sz w:val="20"/>
          <w:szCs w:val="20"/>
        </w:rPr>
        <w:t>26</w:t>
      </w:r>
      <w:r w:rsidRPr="0002189A">
        <w:rPr>
          <w:rFonts w:ascii="Arial" w:hAnsi="Arial" w:cs="Arial"/>
          <w:sz w:val="20"/>
          <w:szCs w:val="20"/>
        </w:rPr>
        <w:t xml:space="preserve"> Ευρώ</w:t>
      </w:r>
    </w:p>
    <w:p w:rsidR="00A13F2C" w:rsidRPr="0002189A" w:rsidRDefault="00A13F2C" w:rsidP="00A13F2C">
      <w:pPr>
        <w:jc w:val="both"/>
        <w:rPr>
          <w:rFonts w:ascii="Arial" w:hAnsi="Arial" w:cs="Arial"/>
          <w:b/>
          <w:sz w:val="20"/>
          <w:szCs w:val="20"/>
        </w:rPr>
      </w:pPr>
    </w:p>
    <w:p w:rsidR="00E91C43" w:rsidRPr="0002189A" w:rsidRDefault="00E91C43" w:rsidP="00E91C4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02189A">
        <w:rPr>
          <w:rFonts w:ascii="Arial" w:hAnsi="Arial" w:cs="Arial"/>
          <w:b/>
          <w:sz w:val="20"/>
          <w:szCs w:val="20"/>
        </w:rPr>
        <w:t xml:space="preserve">.        </w:t>
      </w:r>
      <w:r>
        <w:rPr>
          <w:rFonts w:ascii="Arial" w:hAnsi="Arial" w:cs="Arial"/>
          <w:b/>
          <w:sz w:val="20"/>
          <w:szCs w:val="20"/>
        </w:rPr>
        <w:t>ΠΡΟΤΕΙΝΟΜΕΝΗ</w:t>
      </w:r>
      <w:r w:rsidRPr="0002189A">
        <w:rPr>
          <w:rFonts w:ascii="Arial" w:hAnsi="Arial" w:cs="Arial"/>
          <w:b/>
          <w:sz w:val="20"/>
          <w:szCs w:val="20"/>
        </w:rPr>
        <w:t xml:space="preserve"> ΔΑΠΑΝΗ </w:t>
      </w:r>
      <w:r>
        <w:rPr>
          <w:rFonts w:ascii="Arial" w:hAnsi="Arial" w:cs="Arial"/>
          <w:b/>
          <w:sz w:val="20"/>
          <w:szCs w:val="20"/>
        </w:rPr>
        <w:t>2</w:t>
      </w:r>
      <w:r w:rsidRPr="0002189A">
        <w:rPr>
          <w:rFonts w:ascii="Arial" w:hAnsi="Arial" w:cs="Arial"/>
          <w:b/>
          <w:sz w:val="20"/>
          <w:szCs w:val="20"/>
        </w:rPr>
        <w:t xml:space="preserve">ου   Α.Π.Ε. </w:t>
      </w:r>
    </w:p>
    <w:p w:rsidR="00E91C43" w:rsidRPr="0002189A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Δαπάνη συμβατικών εργασιών                                                </w:t>
      </w:r>
      <w:r w:rsidR="002C0F2D" w:rsidRPr="002C0F2D">
        <w:rPr>
          <w:rFonts w:ascii="Arial" w:hAnsi="Arial" w:cs="Arial"/>
          <w:sz w:val="20"/>
          <w:szCs w:val="20"/>
        </w:rPr>
        <w:t>84.465,58</w:t>
      </w:r>
      <w:r w:rsidRPr="002C0F2D">
        <w:rPr>
          <w:rFonts w:ascii="Arial" w:hAnsi="Arial" w:cs="Arial"/>
          <w:sz w:val="20"/>
          <w:szCs w:val="20"/>
        </w:rPr>
        <w:t xml:space="preserve"> Ευρώ</w:t>
      </w: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ΓΕ + ΟΕ 18%                                                                           </w:t>
      </w:r>
      <w:r w:rsidR="002C0F2D" w:rsidRPr="002C0F2D">
        <w:rPr>
          <w:rFonts w:ascii="Arial" w:hAnsi="Arial" w:cs="Arial"/>
          <w:sz w:val="20"/>
          <w:szCs w:val="20"/>
        </w:rPr>
        <w:t>15.203,80</w:t>
      </w:r>
      <w:r w:rsidRPr="002C0F2D">
        <w:rPr>
          <w:rFonts w:ascii="Arial" w:hAnsi="Arial" w:cs="Arial"/>
          <w:sz w:val="20"/>
          <w:szCs w:val="20"/>
        </w:rPr>
        <w:t xml:space="preserve"> Ευρώ</w:t>
      </w: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Απρόβλεπτα                                                                                    </w:t>
      </w:r>
      <w:r w:rsidR="002C0F2D" w:rsidRPr="002C0F2D">
        <w:rPr>
          <w:rFonts w:ascii="Arial" w:hAnsi="Arial" w:cs="Arial"/>
          <w:sz w:val="20"/>
          <w:szCs w:val="20"/>
        </w:rPr>
        <w:t xml:space="preserve">  0,00</w:t>
      </w:r>
      <w:r w:rsidRPr="002C0F2D">
        <w:rPr>
          <w:rFonts w:ascii="Arial" w:hAnsi="Arial" w:cs="Arial"/>
          <w:sz w:val="20"/>
          <w:szCs w:val="20"/>
        </w:rPr>
        <w:t xml:space="preserve"> Ευρώ </w:t>
      </w: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>Αναθεώρηση                                                                              3.407,09 Ευρώ</w:t>
      </w: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Συνολική εγκεκριμένη δαπάνη εργασιών χωρίς Φ.Π.Α.      </w:t>
      </w:r>
      <w:r w:rsidR="002C0F2D" w:rsidRPr="002C0F2D">
        <w:rPr>
          <w:rFonts w:ascii="Arial" w:hAnsi="Arial" w:cs="Arial"/>
          <w:sz w:val="20"/>
          <w:szCs w:val="20"/>
        </w:rPr>
        <w:t>103.076,47</w:t>
      </w:r>
      <w:r w:rsidRPr="002C0F2D">
        <w:rPr>
          <w:rFonts w:ascii="Arial" w:hAnsi="Arial" w:cs="Arial"/>
          <w:sz w:val="20"/>
          <w:szCs w:val="20"/>
        </w:rPr>
        <w:t xml:space="preserve"> Ευρώ</w:t>
      </w:r>
    </w:p>
    <w:p w:rsidR="00E91C43" w:rsidRPr="002C0F2D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Δαπάνη Φ.Π.Α. 23%                                                                </w:t>
      </w:r>
      <w:r w:rsidR="002C0F2D" w:rsidRPr="002C0F2D">
        <w:rPr>
          <w:rFonts w:ascii="Arial" w:hAnsi="Arial" w:cs="Arial"/>
          <w:sz w:val="20"/>
          <w:szCs w:val="20"/>
        </w:rPr>
        <w:t>23.707,59</w:t>
      </w:r>
      <w:r w:rsidRPr="002C0F2D">
        <w:rPr>
          <w:rFonts w:ascii="Arial" w:hAnsi="Arial" w:cs="Arial"/>
          <w:sz w:val="20"/>
          <w:szCs w:val="20"/>
        </w:rPr>
        <w:t xml:space="preserve"> Ευρώ</w:t>
      </w:r>
    </w:p>
    <w:p w:rsidR="00E91C43" w:rsidRPr="0002189A" w:rsidRDefault="00E91C43" w:rsidP="00E91C4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C0F2D">
        <w:rPr>
          <w:rFonts w:ascii="Arial" w:hAnsi="Arial" w:cs="Arial"/>
          <w:sz w:val="20"/>
          <w:szCs w:val="20"/>
        </w:rPr>
        <w:t xml:space="preserve">Συνολική εγκεκριμένη δαπάνη (με Φ.Π.Α. 23%)                  </w:t>
      </w:r>
      <w:r w:rsidR="002C0F2D" w:rsidRPr="002C0F2D">
        <w:rPr>
          <w:rFonts w:ascii="Arial" w:hAnsi="Arial" w:cs="Arial"/>
          <w:sz w:val="20"/>
          <w:szCs w:val="20"/>
        </w:rPr>
        <w:t>126.784,06</w:t>
      </w:r>
      <w:r w:rsidRPr="002C0F2D">
        <w:rPr>
          <w:rFonts w:ascii="Arial" w:hAnsi="Arial" w:cs="Arial"/>
          <w:sz w:val="20"/>
          <w:szCs w:val="20"/>
        </w:rPr>
        <w:t xml:space="preserve"> Ευρώ</w:t>
      </w:r>
    </w:p>
    <w:p w:rsidR="00E91C43" w:rsidRDefault="00E91C43" w:rsidP="00E91C43">
      <w:pPr>
        <w:jc w:val="both"/>
        <w:rPr>
          <w:rFonts w:ascii="Arial" w:hAnsi="Arial" w:cs="Arial"/>
          <w:b/>
          <w:sz w:val="20"/>
          <w:szCs w:val="20"/>
        </w:rPr>
      </w:pPr>
    </w:p>
    <w:p w:rsidR="00592B2B" w:rsidRDefault="00592B2B" w:rsidP="00592B2B">
      <w:pPr>
        <w:jc w:val="both"/>
        <w:rPr>
          <w:rFonts w:ascii="Arial" w:hAnsi="Arial" w:cs="Arial"/>
          <w:b/>
          <w:sz w:val="20"/>
          <w:szCs w:val="20"/>
        </w:rPr>
      </w:pPr>
      <w:r w:rsidRPr="0002189A">
        <w:lastRenderedPageBreak/>
        <w:t xml:space="preserve">Αναλυτικά για κάθε ομάδα του </w:t>
      </w:r>
      <w:r>
        <w:t>2</w:t>
      </w:r>
      <w:r w:rsidRPr="0002189A">
        <w:rPr>
          <w:vertAlign w:val="superscript"/>
        </w:rPr>
        <w:t xml:space="preserve">ου </w:t>
      </w:r>
      <w:r w:rsidRPr="0002189A">
        <w:t xml:space="preserve">  Α.Π.Ε.  έχουμε </w:t>
      </w:r>
      <w:r w:rsidRPr="0002189A">
        <w:rPr>
          <w:rFonts w:ascii="Arial" w:hAnsi="Arial" w:cs="Arial"/>
          <w:b/>
          <w:sz w:val="20"/>
          <w:szCs w:val="20"/>
        </w:rPr>
        <w:t>:</w:t>
      </w:r>
    </w:p>
    <w:p w:rsidR="00592B2B" w:rsidRPr="0002189A" w:rsidRDefault="00592B2B" w:rsidP="00592B2B">
      <w:pPr>
        <w:jc w:val="both"/>
      </w:pPr>
    </w:p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02189A">
        <w:t xml:space="preserve">Η δαπάνη της </w:t>
      </w:r>
      <w:r w:rsidRPr="00E055B4">
        <w:rPr>
          <w:b/>
        </w:rPr>
        <w:t>πρώτης ομάδας εργασιών</w:t>
      </w:r>
      <w:r w:rsidRPr="0002189A">
        <w:t xml:space="preserve"> «ΧΩΜΑΤΟΥΡΓΙΚΑ» </w:t>
      </w:r>
      <w:r w:rsidRPr="001F6766">
        <w:t xml:space="preserve">παρουσιάζει  αύξηση κατά </w:t>
      </w:r>
      <w:r>
        <w:t>6.331,11</w:t>
      </w:r>
      <w:r w:rsidRPr="001F6766">
        <w:t xml:space="preserve"> € ήτοι ποσοστό </w:t>
      </w:r>
      <w:r>
        <w:t>42,23</w:t>
      </w:r>
      <w:r w:rsidRPr="001F6766">
        <w:t xml:space="preserve">% έναντι του συμβατικού αντικειμένου,  και </w:t>
      </w:r>
      <w:r>
        <w:t>1.042,60</w:t>
      </w:r>
      <w:r w:rsidRPr="001F6766">
        <w:t>€ έναντι του 1ου ΑΠΕ</w:t>
      </w:r>
      <w:r>
        <w:t>.</w:t>
      </w:r>
      <w:r w:rsidRPr="0002189A">
        <w:tab/>
      </w:r>
      <w:r w:rsidRPr="0002189A">
        <w:tab/>
        <w:t xml:space="preserve">                         </w:t>
      </w:r>
    </w:p>
    <w:tbl>
      <w:tblPr>
        <w:tblStyle w:val="a4"/>
        <w:tblW w:w="0" w:type="auto"/>
        <w:tblLook w:val="04A0"/>
      </w:tblPr>
      <w:tblGrid>
        <w:gridCol w:w="3019"/>
        <w:gridCol w:w="235"/>
        <w:gridCol w:w="1984"/>
        <w:gridCol w:w="1533"/>
        <w:gridCol w:w="1701"/>
        <w:gridCol w:w="1296"/>
      </w:tblGrid>
      <w:tr w:rsidR="00592B2B" w:rsidRPr="0002189A" w:rsidTr="006955C7">
        <w:tc>
          <w:tcPr>
            <w:tcW w:w="3019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Arial" w:hAnsi="Arial" w:cs="Arial"/>
                <w:sz w:val="16"/>
                <w:szCs w:val="16"/>
              </w:rPr>
              <w:t>Συμβατικό αντικείμενο</w:t>
            </w:r>
          </w:p>
        </w:tc>
        <w:tc>
          <w:tcPr>
            <w:tcW w:w="1533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2189A">
              <w:rPr>
                <w:rFonts w:ascii="Arial" w:hAnsi="Arial" w:cs="Arial"/>
                <w:sz w:val="16"/>
                <w:szCs w:val="16"/>
                <w:vertAlign w:val="superscript"/>
              </w:rPr>
              <w:t>ος</w:t>
            </w:r>
            <w:r w:rsidRPr="0002189A">
              <w:rPr>
                <w:rFonts w:ascii="Arial" w:hAnsi="Arial" w:cs="Arial"/>
                <w:sz w:val="16"/>
                <w:szCs w:val="16"/>
              </w:rPr>
              <w:t xml:space="preserve"> ΑΠΕ</w:t>
            </w:r>
          </w:p>
        </w:tc>
        <w:tc>
          <w:tcPr>
            <w:tcW w:w="1701" w:type="dxa"/>
          </w:tcPr>
          <w:p w:rsidR="00592B2B" w:rsidRPr="001F6766" w:rsidRDefault="00592B2B" w:rsidP="006955C7">
            <w:pPr>
              <w:rPr>
                <w:rFonts w:ascii="Calibri" w:hAnsi="Calibri"/>
                <w:sz w:val="14"/>
                <w:szCs w:val="14"/>
              </w:rPr>
            </w:pPr>
            <w:r w:rsidRPr="001F6766">
              <w:rPr>
                <w:rFonts w:ascii="Arial" w:hAnsi="Arial" w:cs="Arial"/>
                <w:sz w:val="14"/>
                <w:szCs w:val="14"/>
              </w:rPr>
              <w:t>Διαφορές με συμβατικό αντικείμενο</w:t>
            </w:r>
          </w:p>
        </w:tc>
        <w:tc>
          <w:tcPr>
            <w:tcW w:w="1296" w:type="dxa"/>
          </w:tcPr>
          <w:p w:rsidR="00592B2B" w:rsidRPr="001F6766" w:rsidRDefault="00592B2B" w:rsidP="006955C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Ποσοστό</w:t>
            </w:r>
          </w:p>
        </w:tc>
      </w:tr>
      <w:tr w:rsidR="00592B2B" w:rsidRPr="0002189A" w:rsidTr="006955C7">
        <w:tc>
          <w:tcPr>
            <w:tcW w:w="301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 xml:space="preserve">Σύνολο ομάδας «ΧΩΜΑΤΟΥΡΓΙΚΑ»  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29.393,50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41.807,46</w:t>
            </w:r>
          </w:p>
        </w:tc>
        <w:tc>
          <w:tcPr>
            <w:tcW w:w="170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>Αφαιρείται έκπτωση 49%</w:t>
            </w:r>
            <w:r w:rsidRPr="0002189A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14.402,82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20.485,66</w:t>
            </w:r>
          </w:p>
        </w:tc>
        <w:tc>
          <w:tcPr>
            <w:tcW w:w="170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02189A">
              <w:rPr>
                <w:rFonts w:ascii="Calibri" w:hAnsi="Calibri"/>
                <w:b/>
                <w:sz w:val="20"/>
                <w:szCs w:val="20"/>
              </w:rPr>
              <w:t>Σύνολο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14.990,69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21.321,80</w:t>
            </w:r>
          </w:p>
        </w:tc>
        <w:tc>
          <w:tcPr>
            <w:tcW w:w="170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6.331,11</w:t>
            </w: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42,23%</w:t>
            </w:r>
          </w:p>
        </w:tc>
      </w:tr>
    </w:tbl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2189A">
        <w:rPr>
          <w:rFonts w:ascii="Arial" w:hAnsi="Arial" w:cs="Arial"/>
          <w:sz w:val="20"/>
          <w:szCs w:val="20"/>
        </w:rPr>
        <w:t xml:space="preserve">Η δαπάνη της </w:t>
      </w:r>
      <w:r w:rsidRPr="00E055B4">
        <w:rPr>
          <w:rFonts w:ascii="Arial" w:hAnsi="Arial" w:cs="Arial"/>
          <w:b/>
          <w:sz w:val="20"/>
          <w:szCs w:val="20"/>
        </w:rPr>
        <w:t>δεύτερης  ομάδας εργασιών</w:t>
      </w:r>
      <w:r w:rsidRPr="0002189A">
        <w:rPr>
          <w:rFonts w:ascii="Arial" w:hAnsi="Arial" w:cs="Arial"/>
          <w:sz w:val="20"/>
          <w:szCs w:val="20"/>
        </w:rPr>
        <w:t xml:space="preserve">  «ΤΕΧΝΙΚΑ ΕΡΓΑ» </w:t>
      </w:r>
      <w:r w:rsidRPr="001F6766">
        <w:t xml:space="preserve">παρουσιάζει  αύξηση κατά </w:t>
      </w:r>
      <w:r>
        <w:t>3.527,49</w:t>
      </w:r>
      <w:r w:rsidRPr="001F6766">
        <w:t xml:space="preserve"> € ήτοι ποσοστό </w:t>
      </w:r>
      <w:r>
        <w:t>6,68</w:t>
      </w:r>
      <w:r w:rsidRPr="001F6766">
        <w:t xml:space="preserve">% έναντι του συμβατικού αντικειμένου,  και </w:t>
      </w:r>
      <w:r>
        <w:t>μείωση κατά το ποσό των 1.072,46</w:t>
      </w:r>
      <w:r w:rsidRPr="001F6766">
        <w:t>€ έναντι του 1ου ΑΠΕ</w:t>
      </w:r>
      <w:r>
        <w:t>.</w:t>
      </w:r>
      <w:r w:rsidRPr="0002189A">
        <w:tab/>
      </w:r>
    </w:p>
    <w:p w:rsidR="00592B2B" w:rsidRPr="0002189A" w:rsidRDefault="00592B2B" w:rsidP="00592B2B">
      <w:pPr>
        <w:jc w:val="both"/>
        <w:rPr>
          <w:rFonts w:ascii="Calibri" w:hAnsi="Calibri"/>
          <w:sz w:val="20"/>
          <w:szCs w:val="20"/>
        </w:rPr>
      </w:pPr>
      <w:r w:rsidRPr="0002189A">
        <w:rPr>
          <w:rFonts w:ascii="Calibri" w:hAnsi="Calibri"/>
          <w:sz w:val="20"/>
          <w:szCs w:val="20"/>
        </w:rPr>
        <w:t xml:space="preserve">                         </w:t>
      </w:r>
    </w:p>
    <w:tbl>
      <w:tblPr>
        <w:tblStyle w:val="a4"/>
        <w:tblW w:w="0" w:type="auto"/>
        <w:tblLook w:val="04A0"/>
      </w:tblPr>
      <w:tblGrid>
        <w:gridCol w:w="2999"/>
        <w:gridCol w:w="235"/>
        <w:gridCol w:w="1993"/>
        <w:gridCol w:w="1540"/>
        <w:gridCol w:w="1705"/>
        <w:gridCol w:w="1296"/>
      </w:tblGrid>
      <w:tr w:rsidR="00592B2B" w:rsidRPr="0002189A" w:rsidTr="006955C7">
        <w:tc>
          <w:tcPr>
            <w:tcW w:w="2999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3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Arial" w:hAnsi="Arial" w:cs="Arial"/>
                <w:sz w:val="16"/>
                <w:szCs w:val="16"/>
              </w:rPr>
              <w:t>Συμβατικό αντικείμενο</w:t>
            </w:r>
          </w:p>
        </w:tc>
        <w:tc>
          <w:tcPr>
            <w:tcW w:w="1540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2189A">
              <w:rPr>
                <w:rFonts w:ascii="Arial" w:hAnsi="Arial" w:cs="Arial"/>
                <w:sz w:val="16"/>
                <w:szCs w:val="16"/>
                <w:vertAlign w:val="superscript"/>
              </w:rPr>
              <w:t>ος</w:t>
            </w:r>
            <w:r w:rsidRPr="0002189A">
              <w:rPr>
                <w:rFonts w:ascii="Arial" w:hAnsi="Arial" w:cs="Arial"/>
                <w:sz w:val="16"/>
                <w:szCs w:val="16"/>
              </w:rPr>
              <w:t xml:space="preserve"> ΑΠΕ</w:t>
            </w:r>
          </w:p>
        </w:tc>
        <w:tc>
          <w:tcPr>
            <w:tcW w:w="1705" w:type="dxa"/>
          </w:tcPr>
          <w:p w:rsidR="00592B2B" w:rsidRPr="001F6766" w:rsidRDefault="00592B2B" w:rsidP="006955C7">
            <w:pPr>
              <w:rPr>
                <w:rFonts w:ascii="Calibri" w:hAnsi="Calibri"/>
                <w:sz w:val="14"/>
                <w:szCs w:val="14"/>
              </w:rPr>
            </w:pPr>
            <w:r w:rsidRPr="001F6766">
              <w:rPr>
                <w:rFonts w:ascii="Arial" w:hAnsi="Arial" w:cs="Arial"/>
                <w:sz w:val="14"/>
                <w:szCs w:val="14"/>
              </w:rPr>
              <w:t>Διαφορές με συμβατικό αντικείμενο</w:t>
            </w:r>
          </w:p>
        </w:tc>
        <w:tc>
          <w:tcPr>
            <w:tcW w:w="1296" w:type="dxa"/>
          </w:tcPr>
          <w:p w:rsidR="00592B2B" w:rsidRPr="001F6766" w:rsidRDefault="00592B2B" w:rsidP="006955C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Ποσοστό</w:t>
            </w:r>
          </w:p>
        </w:tc>
      </w:tr>
      <w:tr w:rsidR="00592B2B" w:rsidRPr="0002189A" w:rsidTr="006955C7">
        <w:tc>
          <w:tcPr>
            <w:tcW w:w="299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 xml:space="preserve">Σύνολο ομάδας «ΤΕΧΝΙΚΑ ΕΡΓΑ»  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101.539,66</w:t>
            </w:r>
          </w:p>
        </w:tc>
        <w:tc>
          <w:tcPr>
            <w:tcW w:w="154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108.323,28</w:t>
            </w:r>
          </w:p>
        </w:tc>
        <w:tc>
          <w:tcPr>
            <w:tcW w:w="170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299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>Αφαιρείται έκπτωση  48%</w:t>
            </w:r>
            <w:r w:rsidRPr="0002189A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48.739,04</w:t>
            </w:r>
          </w:p>
        </w:tc>
        <w:tc>
          <w:tcPr>
            <w:tcW w:w="154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51.995,17</w:t>
            </w:r>
          </w:p>
        </w:tc>
        <w:tc>
          <w:tcPr>
            <w:tcW w:w="170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2999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02189A">
              <w:rPr>
                <w:rFonts w:ascii="Calibri" w:hAnsi="Calibri"/>
                <w:b/>
                <w:sz w:val="20"/>
                <w:szCs w:val="20"/>
              </w:rPr>
              <w:t>Σύνολο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9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52.800,62</w:t>
            </w:r>
          </w:p>
        </w:tc>
        <w:tc>
          <w:tcPr>
            <w:tcW w:w="154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56.328,11</w:t>
            </w:r>
          </w:p>
        </w:tc>
        <w:tc>
          <w:tcPr>
            <w:tcW w:w="170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 w:rsidRPr="001037D9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3.527,49</w:t>
            </w: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6,68%</w:t>
            </w:r>
          </w:p>
        </w:tc>
      </w:tr>
    </w:tbl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2B2B" w:rsidRDefault="00592B2B" w:rsidP="00592B2B">
      <w:pPr>
        <w:jc w:val="both"/>
      </w:pPr>
      <w:r w:rsidRPr="0002189A">
        <w:rPr>
          <w:rFonts w:ascii="Arial" w:hAnsi="Arial" w:cs="Arial"/>
          <w:sz w:val="20"/>
          <w:szCs w:val="20"/>
        </w:rPr>
        <w:t xml:space="preserve">Η δαπάνη της  </w:t>
      </w:r>
      <w:r w:rsidRPr="00890339">
        <w:rPr>
          <w:rFonts w:ascii="Arial" w:hAnsi="Arial" w:cs="Arial"/>
          <w:b/>
          <w:sz w:val="20"/>
          <w:szCs w:val="20"/>
        </w:rPr>
        <w:t>τρίτης ομάδας εργασιών</w:t>
      </w:r>
      <w:r w:rsidRPr="0002189A">
        <w:rPr>
          <w:rFonts w:ascii="Arial" w:hAnsi="Arial" w:cs="Arial"/>
          <w:sz w:val="20"/>
          <w:szCs w:val="20"/>
        </w:rPr>
        <w:t xml:space="preserve"> «ΟΔΟΣΤΡΩΣΙΑ» </w:t>
      </w:r>
      <w:r w:rsidRPr="001F6766">
        <w:t xml:space="preserve">παρουσιάζει  αύξηση κατά </w:t>
      </w:r>
      <w:r>
        <w:t>388,93</w:t>
      </w:r>
      <w:r w:rsidRPr="001F6766">
        <w:t xml:space="preserve"> € ήτοι ποσοστό </w:t>
      </w:r>
      <w:r>
        <w:t>18,24</w:t>
      </w:r>
      <w:r w:rsidRPr="001F6766">
        <w:t xml:space="preserve">% έναντι του συμβατικού αντικειμένου,  και </w:t>
      </w:r>
      <w:r>
        <w:t>119,05</w:t>
      </w:r>
      <w:r w:rsidRPr="001F6766">
        <w:t>€ έναντι του 1ου ΑΠΕ</w:t>
      </w:r>
      <w:r>
        <w:t>.</w:t>
      </w:r>
      <w:r w:rsidRPr="0002189A">
        <w:tab/>
      </w:r>
    </w:p>
    <w:p w:rsidR="00592B2B" w:rsidRPr="0002189A" w:rsidRDefault="00592B2B" w:rsidP="00592B2B">
      <w:pPr>
        <w:jc w:val="both"/>
        <w:rPr>
          <w:rFonts w:ascii="Calibri" w:hAnsi="Calibri"/>
          <w:sz w:val="20"/>
          <w:szCs w:val="20"/>
        </w:rPr>
      </w:pPr>
      <w:r w:rsidRPr="0002189A">
        <w:rPr>
          <w:rFonts w:ascii="Calibri" w:hAnsi="Calibri"/>
          <w:sz w:val="20"/>
          <w:szCs w:val="20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018"/>
        <w:gridCol w:w="235"/>
        <w:gridCol w:w="1991"/>
        <w:gridCol w:w="1533"/>
        <w:gridCol w:w="1695"/>
        <w:gridCol w:w="1296"/>
      </w:tblGrid>
      <w:tr w:rsidR="00592B2B" w:rsidRPr="0002189A" w:rsidTr="006955C7">
        <w:tc>
          <w:tcPr>
            <w:tcW w:w="3018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1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Arial" w:hAnsi="Arial" w:cs="Arial"/>
                <w:sz w:val="16"/>
                <w:szCs w:val="16"/>
              </w:rPr>
              <w:t>Συμβατικό αντικείμενο</w:t>
            </w:r>
          </w:p>
        </w:tc>
        <w:tc>
          <w:tcPr>
            <w:tcW w:w="1533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2189A">
              <w:rPr>
                <w:rFonts w:ascii="Arial" w:hAnsi="Arial" w:cs="Arial"/>
                <w:sz w:val="16"/>
                <w:szCs w:val="16"/>
                <w:vertAlign w:val="superscript"/>
              </w:rPr>
              <w:t>ος</w:t>
            </w:r>
            <w:r w:rsidRPr="0002189A">
              <w:rPr>
                <w:rFonts w:ascii="Arial" w:hAnsi="Arial" w:cs="Arial"/>
                <w:sz w:val="16"/>
                <w:szCs w:val="16"/>
              </w:rPr>
              <w:t xml:space="preserve"> ΑΠΕ</w:t>
            </w:r>
          </w:p>
        </w:tc>
        <w:tc>
          <w:tcPr>
            <w:tcW w:w="1695" w:type="dxa"/>
          </w:tcPr>
          <w:p w:rsidR="00592B2B" w:rsidRPr="001F6766" w:rsidRDefault="00592B2B" w:rsidP="006955C7">
            <w:pPr>
              <w:rPr>
                <w:rFonts w:ascii="Calibri" w:hAnsi="Calibri"/>
                <w:sz w:val="14"/>
                <w:szCs w:val="14"/>
              </w:rPr>
            </w:pPr>
            <w:r w:rsidRPr="001F6766">
              <w:rPr>
                <w:rFonts w:ascii="Arial" w:hAnsi="Arial" w:cs="Arial"/>
                <w:sz w:val="14"/>
                <w:szCs w:val="14"/>
              </w:rPr>
              <w:t>Διαφορές με συμβατικό αντικείμενο</w:t>
            </w:r>
          </w:p>
        </w:tc>
        <w:tc>
          <w:tcPr>
            <w:tcW w:w="1296" w:type="dxa"/>
          </w:tcPr>
          <w:p w:rsidR="00592B2B" w:rsidRPr="001F6766" w:rsidRDefault="00592B2B" w:rsidP="006955C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Ποσοστό</w:t>
            </w:r>
          </w:p>
        </w:tc>
      </w:tr>
      <w:tr w:rsidR="00592B2B" w:rsidRPr="0002189A" w:rsidTr="006955C7">
        <w:tc>
          <w:tcPr>
            <w:tcW w:w="3018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 xml:space="preserve">Σύνολο ομάδας «ΟΔΟΣΤΡΩΣΙΑ»  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4.101,00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4.848,94</w:t>
            </w:r>
          </w:p>
        </w:tc>
        <w:tc>
          <w:tcPr>
            <w:tcW w:w="16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8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>Αφαιρείται έκπτωση 48%</w:t>
            </w:r>
            <w:r w:rsidRPr="0002189A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1.968,48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2.327,49</w:t>
            </w:r>
          </w:p>
        </w:tc>
        <w:tc>
          <w:tcPr>
            <w:tcW w:w="16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8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02189A">
              <w:rPr>
                <w:rFonts w:ascii="Calibri" w:hAnsi="Calibri"/>
                <w:b/>
                <w:sz w:val="20"/>
                <w:szCs w:val="20"/>
              </w:rPr>
              <w:t>Σύνολο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91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2.132,52</w:t>
            </w:r>
          </w:p>
        </w:tc>
        <w:tc>
          <w:tcPr>
            <w:tcW w:w="153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2.521,45</w:t>
            </w:r>
          </w:p>
        </w:tc>
        <w:tc>
          <w:tcPr>
            <w:tcW w:w="16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388,93</w:t>
            </w: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18,24%</w:t>
            </w:r>
          </w:p>
        </w:tc>
      </w:tr>
    </w:tbl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2189A">
        <w:rPr>
          <w:rFonts w:ascii="Arial" w:hAnsi="Arial" w:cs="Arial"/>
          <w:sz w:val="20"/>
          <w:szCs w:val="20"/>
        </w:rPr>
        <w:t xml:space="preserve">Η δαπάνη της </w:t>
      </w:r>
      <w:r w:rsidRPr="00890339">
        <w:rPr>
          <w:rFonts w:ascii="Arial" w:hAnsi="Arial" w:cs="Arial"/>
          <w:b/>
          <w:sz w:val="20"/>
          <w:szCs w:val="20"/>
        </w:rPr>
        <w:t>τετάρτης ομάδας εργασιών</w:t>
      </w:r>
      <w:r w:rsidRPr="0002189A">
        <w:rPr>
          <w:rFonts w:ascii="Arial" w:hAnsi="Arial" w:cs="Arial"/>
          <w:sz w:val="20"/>
          <w:szCs w:val="20"/>
        </w:rPr>
        <w:t xml:space="preserve">  «ΣΗΜΑΝΣΗ- ΑΣΦΑΛΕΙΑ» </w:t>
      </w:r>
      <w:r w:rsidRPr="001F6766">
        <w:t xml:space="preserve">παρουσιάζει  αύξηση κατά </w:t>
      </w:r>
      <w:r>
        <w:t>154,75</w:t>
      </w:r>
      <w:r w:rsidRPr="001F6766">
        <w:t xml:space="preserve"> € ήτοι ποσοστό </w:t>
      </w:r>
      <w:r>
        <w:t>6,10</w:t>
      </w:r>
      <w:r w:rsidRPr="001F6766">
        <w:t xml:space="preserve">% έναντι του συμβατικού αντικειμένου,  και </w:t>
      </w:r>
      <w:r>
        <w:t>μείωση κατά το ποσό των 892,53</w:t>
      </w:r>
      <w:r w:rsidRPr="001F6766">
        <w:t>€ έναντι του 1ου ΑΠΕ</w:t>
      </w:r>
      <w:r>
        <w:t>.</w:t>
      </w:r>
      <w:r w:rsidRPr="0002189A">
        <w:tab/>
      </w:r>
      <w:r w:rsidRPr="0002189A">
        <w:rPr>
          <w:rFonts w:ascii="Arial" w:hAnsi="Arial" w:cs="Arial"/>
          <w:sz w:val="16"/>
          <w:szCs w:val="16"/>
        </w:rPr>
        <w:tab/>
      </w:r>
    </w:p>
    <w:p w:rsidR="00592B2B" w:rsidRPr="0002189A" w:rsidRDefault="00592B2B" w:rsidP="00592B2B">
      <w:pPr>
        <w:jc w:val="both"/>
        <w:rPr>
          <w:rFonts w:ascii="Calibri" w:hAnsi="Calibri"/>
          <w:sz w:val="20"/>
          <w:szCs w:val="20"/>
        </w:rPr>
      </w:pPr>
      <w:r w:rsidRPr="0002189A">
        <w:rPr>
          <w:rFonts w:ascii="Calibri" w:hAnsi="Calibri"/>
          <w:sz w:val="20"/>
          <w:szCs w:val="20"/>
        </w:rPr>
        <w:t xml:space="preserve">                         </w:t>
      </w:r>
    </w:p>
    <w:tbl>
      <w:tblPr>
        <w:tblStyle w:val="a4"/>
        <w:tblW w:w="0" w:type="auto"/>
        <w:tblLook w:val="04A0"/>
      </w:tblPr>
      <w:tblGrid>
        <w:gridCol w:w="3144"/>
        <w:gridCol w:w="281"/>
        <w:gridCol w:w="1810"/>
        <w:gridCol w:w="1534"/>
        <w:gridCol w:w="1703"/>
        <w:gridCol w:w="1296"/>
      </w:tblGrid>
      <w:tr w:rsidR="00592B2B" w:rsidRPr="0002189A" w:rsidTr="006955C7">
        <w:tc>
          <w:tcPr>
            <w:tcW w:w="3144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1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0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Arial" w:hAnsi="Arial" w:cs="Arial"/>
                <w:sz w:val="16"/>
                <w:szCs w:val="16"/>
              </w:rPr>
              <w:t>Συμβατικό αντικείμενο</w:t>
            </w:r>
          </w:p>
        </w:tc>
        <w:tc>
          <w:tcPr>
            <w:tcW w:w="1534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2189A">
              <w:rPr>
                <w:rFonts w:ascii="Arial" w:hAnsi="Arial" w:cs="Arial"/>
                <w:sz w:val="16"/>
                <w:szCs w:val="16"/>
                <w:vertAlign w:val="superscript"/>
              </w:rPr>
              <w:t>ος</w:t>
            </w:r>
            <w:r w:rsidRPr="0002189A">
              <w:rPr>
                <w:rFonts w:ascii="Arial" w:hAnsi="Arial" w:cs="Arial"/>
                <w:sz w:val="16"/>
                <w:szCs w:val="16"/>
              </w:rPr>
              <w:t xml:space="preserve"> ΑΠΕ</w:t>
            </w:r>
          </w:p>
        </w:tc>
        <w:tc>
          <w:tcPr>
            <w:tcW w:w="1703" w:type="dxa"/>
          </w:tcPr>
          <w:p w:rsidR="00592B2B" w:rsidRPr="001F6766" w:rsidRDefault="00592B2B" w:rsidP="006955C7">
            <w:pPr>
              <w:rPr>
                <w:rFonts w:ascii="Calibri" w:hAnsi="Calibri"/>
                <w:sz w:val="14"/>
                <w:szCs w:val="14"/>
              </w:rPr>
            </w:pPr>
            <w:r w:rsidRPr="001F6766">
              <w:rPr>
                <w:rFonts w:ascii="Arial" w:hAnsi="Arial" w:cs="Arial"/>
                <w:sz w:val="14"/>
                <w:szCs w:val="14"/>
              </w:rPr>
              <w:t>Διαφορές με συμβατικό αντικείμενο</w:t>
            </w:r>
          </w:p>
        </w:tc>
        <w:tc>
          <w:tcPr>
            <w:tcW w:w="1296" w:type="dxa"/>
          </w:tcPr>
          <w:p w:rsidR="00592B2B" w:rsidRPr="001F6766" w:rsidRDefault="00592B2B" w:rsidP="006955C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Ποσοστό</w:t>
            </w:r>
          </w:p>
        </w:tc>
      </w:tr>
      <w:tr w:rsidR="00592B2B" w:rsidRPr="0002189A" w:rsidTr="006955C7">
        <w:tc>
          <w:tcPr>
            <w:tcW w:w="3144" w:type="dxa"/>
          </w:tcPr>
          <w:p w:rsidR="00592B2B" w:rsidRPr="0002189A" w:rsidRDefault="00592B2B" w:rsidP="006955C7">
            <w:pPr>
              <w:rPr>
                <w:rFonts w:ascii="Calibri" w:hAnsi="Calibri"/>
                <w:sz w:val="18"/>
                <w:szCs w:val="18"/>
              </w:rPr>
            </w:pPr>
            <w:r w:rsidRPr="0002189A">
              <w:rPr>
                <w:rFonts w:ascii="Calibri" w:hAnsi="Calibri"/>
                <w:sz w:val="18"/>
                <w:szCs w:val="18"/>
              </w:rPr>
              <w:t xml:space="preserve">Σύνολο ομάδας «ΣΗΜΑΝΣΗ- ΑΣΦΑΛΕΙΑ»  </w:t>
            </w:r>
          </w:p>
        </w:tc>
        <w:tc>
          <w:tcPr>
            <w:tcW w:w="281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4.881,00</w:t>
            </w:r>
          </w:p>
        </w:tc>
        <w:tc>
          <w:tcPr>
            <w:tcW w:w="153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5.178,60</w:t>
            </w:r>
          </w:p>
        </w:tc>
        <w:tc>
          <w:tcPr>
            <w:tcW w:w="170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144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>Αφαιρείται έκπτωση  48%</w:t>
            </w:r>
            <w:r w:rsidRPr="0002189A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81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2.342,88</w:t>
            </w:r>
          </w:p>
        </w:tc>
        <w:tc>
          <w:tcPr>
            <w:tcW w:w="153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2.485,73</w:t>
            </w:r>
          </w:p>
        </w:tc>
        <w:tc>
          <w:tcPr>
            <w:tcW w:w="170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144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02189A">
              <w:rPr>
                <w:rFonts w:ascii="Calibri" w:hAnsi="Calibri"/>
                <w:b/>
                <w:sz w:val="20"/>
                <w:szCs w:val="20"/>
              </w:rPr>
              <w:t>Σύνολο</w:t>
            </w:r>
          </w:p>
        </w:tc>
        <w:tc>
          <w:tcPr>
            <w:tcW w:w="281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810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2.538,12</w:t>
            </w:r>
          </w:p>
        </w:tc>
        <w:tc>
          <w:tcPr>
            <w:tcW w:w="1534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2.692,87</w:t>
            </w:r>
          </w:p>
        </w:tc>
        <w:tc>
          <w:tcPr>
            <w:tcW w:w="1703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154,75</w:t>
            </w:r>
          </w:p>
        </w:tc>
        <w:tc>
          <w:tcPr>
            <w:tcW w:w="129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6,10%</w:t>
            </w:r>
          </w:p>
        </w:tc>
      </w:tr>
    </w:tbl>
    <w:p w:rsidR="00592B2B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92B2B" w:rsidRPr="0002189A" w:rsidRDefault="00592B2B" w:rsidP="00592B2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2189A">
        <w:rPr>
          <w:rFonts w:ascii="Arial" w:hAnsi="Arial" w:cs="Arial"/>
          <w:sz w:val="20"/>
          <w:szCs w:val="20"/>
        </w:rPr>
        <w:t xml:space="preserve">Η δαπάνη της </w:t>
      </w:r>
      <w:r w:rsidRPr="00890339">
        <w:rPr>
          <w:rFonts w:ascii="Arial" w:hAnsi="Arial" w:cs="Arial"/>
          <w:b/>
          <w:sz w:val="20"/>
          <w:szCs w:val="20"/>
        </w:rPr>
        <w:t>πέμπτης ομάδας εργασιών</w:t>
      </w:r>
      <w:r w:rsidRPr="0002189A">
        <w:rPr>
          <w:rFonts w:ascii="Arial" w:hAnsi="Arial" w:cs="Arial"/>
          <w:sz w:val="20"/>
          <w:szCs w:val="20"/>
        </w:rPr>
        <w:t xml:space="preserve">  «ΕΡΓΑ ΠΡΑΣΙΝΟΥ» </w:t>
      </w:r>
      <w:r w:rsidRPr="001F6766">
        <w:t xml:space="preserve">παρουσιάζει  </w:t>
      </w:r>
      <w:r>
        <w:t>μείωση</w:t>
      </w:r>
      <w:r w:rsidRPr="001F6766">
        <w:t xml:space="preserve"> κατά </w:t>
      </w:r>
      <w:r>
        <w:t>956,05</w:t>
      </w:r>
      <w:r w:rsidRPr="001F6766">
        <w:t xml:space="preserve"> € ήτοι ποσοστό </w:t>
      </w:r>
      <w:r>
        <w:t>37,38</w:t>
      </w:r>
      <w:r w:rsidRPr="001F6766">
        <w:t>% ένα</w:t>
      </w:r>
      <w:r>
        <w:t xml:space="preserve">ντι του συμβατικού αντικειμένου αλλά </w:t>
      </w:r>
      <w:r w:rsidRPr="001F6766">
        <w:t>και έναντι του 1ου ΑΠΕ</w:t>
      </w:r>
      <w:r>
        <w:t>.</w:t>
      </w:r>
      <w:r w:rsidRPr="0002189A">
        <w:tab/>
      </w:r>
      <w:r w:rsidRPr="0002189A">
        <w:rPr>
          <w:rFonts w:ascii="Arial" w:hAnsi="Arial" w:cs="Arial"/>
          <w:sz w:val="16"/>
          <w:szCs w:val="16"/>
        </w:rPr>
        <w:tab/>
      </w:r>
    </w:p>
    <w:tbl>
      <w:tblPr>
        <w:tblStyle w:val="a4"/>
        <w:tblW w:w="0" w:type="auto"/>
        <w:tblLook w:val="04A0"/>
      </w:tblPr>
      <w:tblGrid>
        <w:gridCol w:w="3012"/>
        <w:gridCol w:w="235"/>
        <w:gridCol w:w="1995"/>
        <w:gridCol w:w="1535"/>
        <w:gridCol w:w="1836"/>
        <w:gridCol w:w="1155"/>
      </w:tblGrid>
      <w:tr w:rsidR="00592B2B" w:rsidRPr="0002189A" w:rsidTr="006955C7">
        <w:tc>
          <w:tcPr>
            <w:tcW w:w="3012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Arial" w:hAnsi="Arial" w:cs="Arial"/>
                <w:sz w:val="16"/>
                <w:szCs w:val="16"/>
              </w:rPr>
              <w:t>Συμβατικό αντικείμενο</w:t>
            </w:r>
          </w:p>
        </w:tc>
        <w:tc>
          <w:tcPr>
            <w:tcW w:w="1535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02189A">
              <w:rPr>
                <w:rFonts w:ascii="Arial" w:hAnsi="Arial" w:cs="Arial"/>
                <w:sz w:val="16"/>
                <w:szCs w:val="16"/>
                <w:vertAlign w:val="superscript"/>
              </w:rPr>
              <w:t>ος</w:t>
            </w:r>
            <w:r w:rsidRPr="0002189A">
              <w:rPr>
                <w:rFonts w:ascii="Arial" w:hAnsi="Arial" w:cs="Arial"/>
                <w:sz w:val="16"/>
                <w:szCs w:val="16"/>
              </w:rPr>
              <w:t xml:space="preserve"> ΑΠΕ</w:t>
            </w:r>
          </w:p>
        </w:tc>
        <w:tc>
          <w:tcPr>
            <w:tcW w:w="1836" w:type="dxa"/>
          </w:tcPr>
          <w:p w:rsidR="00592B2B" w:rsidRPr="001F6766" w:rsidRDefault="00592B2B" w:rsidP="006955C7">
            <w:pPr>
              <w:rPr>
                <w:rFonts w:ascii="Calibri" w:hAnsi="Calibri"/>
                <w:sz w:val="14"/>
                <w:szCs w:val="14"/>
              </w:rPr>
            </w:pPr>
            <w:r w:rsidRPr="001F6766">
              <w:rPr>
                <w:rFonts w:ascii="Arial" w:hAnsi="Arial" w:cs="Arial"/>
                <w:sz w:val="14"/>
                <w:szCs w:val="14"/>
              </w:rPr>
              <w:t>Διαφορές με συμβατικό αντικείμενο</w:t>
            </w:r>
          </w:p>
        </w:tc>
        <w:tc>
          <w:tcPr>
            <w:tcW w:w="1155" w:type="dxa"/>
          </w:tcPr>
          <w:p w:rsidR="00592B2B" w:rsidRPr="001F6766" w:rsidRDefault="00592B2B" w:rsidP="006955C7">
            <w:pPr>
              <w:jc w:val="center"/>
              <w:rPr>
                <w:rFonts w:ascii="Calibri" w:hAnsi="Calibri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Ποσοστό</w:t>
            </w:r>
          </w:p>
        </w:tc>
      </w:tr>
      <w:tr w:rsidR="00592B2B" w:rsidRPr="0002189A" w:rsidTr="006955C7">
        <w:tc>
          <w:tcPr>
            <w:tcW w:w="3012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 xml:space="preserve">Σύνολο ομάδας «ΕΡΓΑ ΠΡΑΣΙΝΟΥ»  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5.014,50</w:t>
            </w:r>
          </w:p>
        </w:tc>
        <w:tc>
          <w:tcPr>
            <w:tcW w:w="153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3.139,91</w:t>
            </w:r>
          </w:p>
        </w:tc>
        <w:tc>
          <w:tcPr>
            <w:tcW w:w="183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15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2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2189A">
              <w:rPr>
                <w:rFonts w:ascii="Calibri" w:hAnsi="Calibri"/>
                <w:sz w:val="20"/>
                <w:szCs w:val="20"/>
              </w:rPr>
              <w:t>Αφαιρείται έκπτωση  49%</w:t>
            </w:r>
            <w:r w:rsidRPr="0002189A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 w:rsidRPr="0002189A">
              <w:rPr>
                <w:rFonts w:ascii="Arial Greek" w:hAnsi="Arial Greek" w:cs="Arial Greek"/>
                <w:bCs/>
                <w:iCs/>
                <w:sz w:val="18"/>
                <w:szCs w:val="20"/>
              </w:rPr>
              <w:t>2.457,11</w:t>
            </w:r>
          </w:p>
        </w:tc>
        <w:tc>
          <w:tcPr>
            <w:tcW w:w="153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Cs/>
                <w:iCs/>
                <w:sz w:val="18"/>
                <w:szCs w:val="20"/>
              </w:rPr>
              <w:t>1.538,56</w:t>
            </w:r>
          </w:p>
        </w:tc>
        <w:tc>
          <w:tcPr>
            <w:tcW w:w="183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  <w:tc>
          <w:tcPr>
            <w:tcW w:w="115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Cs/>
                <w:iCs/>
                <w:sz w:val="18"/>
                <w:szCs w:val="20"/>
              </w:rPr>
            </w:pPr>
          </w:p>
        </w:tc>
      </w:tr>
      <w:tr w:rsidR="00592B2B" w:rsidRPr="0002189A" w:rsidTr="006955C7">
        <w:tc>
          <w:tcPr>
            <w:tcW w:w="3012" w:type="dxa"/>
          </w:tcPr>
          <w:p w:rsidR="00592B2B" w:rsidRPr="0002189A" w:rsidRDefault="00592B2B" w:rsidP="006955C7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02189A">
              <w:rPr>
                <w:rFonts w:ascii="Calibri" w:hAnsi="Calibri"/>
                <w:b/>
                <w:sz w:val="20"/>
                <w:szCs w:val="20"/>
              </w:rPr>
              <w:t>Σύνολο</w:t>
            </w:r>
          </w:p>
        </w:tc>
        <w:tc>
          <w:tcPr>
            <w:tcW w:w="235" w:type="dxa"/>
          </w:tcPr>
          <w:p w:rsidR="00592B2B" w:rsidRPr="0002189A" w:rsidRDefault="00592B2B" w:rsidP="006955C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9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2.5</w:t>
            </w:r>
            <w:r w:rsidRPr="0002189A"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57,40</w:t>
            </w:r>
          </w:p>
        </w:tc>
        <w:tc>
          <w:tcPr>
            <w:tcW w:w="153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1.601,35</w:t>
            </w:r>
          </w:p>
        </w:tc>
        <w:tc>
          <w:tcPr>
            <w:tcW w:w="1836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956,05</w:t>
            </w:r>
          </w:p>
        </w:tc>
        <w:tc>
          <w:tcPr>
            <w:tcW w:w="1155" w:type="dxa"/>
            <w:vAlign w:val="bottom"/>
          </w:tcPr>
          <w:p w:rsidR="00592B2B" w:rsidRPr="0002189A" w:rsidRDefault="00592B2B" w:rsidP="006955C7">
            <w:pPr>
              <w:jc w:val="right"/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</w:pPr>
            <w:r>
              <w:rPr>
                <w:rFonts w:ascii="Arial Greek" w:hAnsi="Arial Greek" w:cs="Arial Greek"/>
                <w:b/>
                <w:bCs/>
                <w:iCs/>
                <w:sz w:val="18"/>
                <w:szCs w:val="20"/>
              </w:rPr>
              <w:t>37,38%</w:t>
            </w:r>
          </w:p>
        </w:tc>
      </w:tr>
    </w:tbl>
    <w:p w:rsidR="008B02DA" w:rsidRPr="008B02DA" w:rsidRDefault="008B02DA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lastRenderedPageBreak/>
        <w:t xml:space="preserve">Ο </w:t>
      </w:r>
      <w:r w:rsidRPr="00E04F7C">
        <w:rPr>
          <w:rFonts w:ascii="Arial" w:hAnsi="Arial" w:cs="Arial"/>
          <w:sz w:val="20"/>
          <w:szCs w:val="20"/>
        </w:rPr>
        <w:t xml:space="preserve">παρόντας 2ος Α.Π.Ε. είναι </w:t>
      </w:r>
      <w:proofErr w:type="spellStart"/>
      <w:r w:rsidRPr="00E04F7C">
        <w:rPr>
          <w:rFonts w:ascii="Arial" w:hAnsi="Arial" w:cs="Arial"/>
          <w:sz w:val="20"/>
          <w:szCs w:val="20"/>
        </w:rPr>
        <w:t>τακτοποιητικός</w:t>
      </w:r>
      <w:proofErr w:type="spellEnd"/>
      <w:r w:rsidRPr="00E04F7C">
        <w:rPr>
          <w:rFonts w:ascii="Arial" w:hAnsi="Arial" w:cs="Arial"/>
          <w:sz w:val="20"/>
          <w:szCs w:val="20"/>
        </w:rPr>
        <w:t xml:space="preserve"> και παρουσιάζει μείωση έναντι του  συμβατικού αντικειμένου, κατά το ποσό των </w:t>
      </w:r>
      <w:r w:rsidR="00E04F7C" w:rsidRPr="00E04F7C">
        <w:rPr>
          <w:rFonts w:ascii="Arial" w:hAnsi="Arial" w:cs="Arial"/>
          <w:sz w:val="20"/>
          <w:szCs w:val="20"/>
        </w:rPr>
        <w:t>2131,87</w:t>
      </w:r>
      <w:r w:rsidRPr="00E04F7C">
        <w:rPr>
          <w:rFonts w:ascii="Arial" w:hAnsi="Arial" w:cs="Arial"/>
          <w:sz w:val="20"/>
          <w:szCs w:val="20"/>
        </w:rPr>
        <w:t xml:space="preserve">€ ήτοι ποσοστό </w:t>
      </w:r>
      <w:r w:rsidR="00E04F7C" w:rsidRPr="00E04F7C">
        <w:rPr>
          <w:rFonts w:ascii="Arial" w:hAnsi="Arial" w:cs="Arial"/>
          <w:sz w:val="20"/>
          <w:szCs w:val="20"/>
        </w:rPr>
        <w:t>2,09</w:t>
      </w:r>
      <w:r w:rsidRPr="00E04F7C">
        <w:rPr>
          <w:rFonts w:ascii="Arial" w:hAnsi="Arial" w:cs="Arial"/>
          <w:sz w:val="20"/>
          <w:szCs w:val="20"/>
        </w:rPr>
        <w:t>%.</w:t>
      </w:r>
    </w:p>
    <w:p w:rsidR="00D12EF0" w:rsidRPr="000F7F55" w:rsidRDefault="00D12EF0" w:rsidP="00D12EF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F7F55">
        <w:rPr>
          <w:rFonts w:ascii="Arial" w:hAnsi="Arial" w:cs="Arial"/>
          <w:i/>
          <w:sz w:val="20"/>
          <w:szCs w:val="20"/>
        </w:rPr>
        <w:t xml:space="preserve">Με τον παρόντα 2ο ΑΠΕ γίνεται χρήση των επί έλασσον δαπανών </w:t>
      </w:r>
      <w:r w:rsidRPr="000F7F55">
        <w:rPr>
          <w:rFonts w:ascii="Arial" w:hAnsi="Arial" w:cs="Arial"/>
          <w:b/>
          <w:i/>
          <w:sz w:val="20"/>
          <w:szCs w:val="20"/>
          <w:u w:val="single"/>
        </w:rPr>
        <w:t>μόνο</w:t>
      </w:r>
      <w:r w:rsidRPr="000F7F55">
        <w:rPr>
          <w:rFonts w:ascii="Arial" w:hAnsi="Arial" w:cs="Arial"/>
          <w:i/>
          <w:sz w:val="20"/>
          <w:szCs w:val="20"/>
        </w:rPr>
        <w:t xml:space="preserve"> εντός ομάδας σύμφωνα με τους όρους της διακήρυξης  και χρήση  των απροβλέπτων .</w:t>
      </w:r>
    </w:p>
    <w:p w:rsidR="008B02DA" w:rsidRPr="008B02DA" w:rsidRDefault="008B02DA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u w:val="single"/>
        </w:rPr>
      </w:pPr>
      <w:r w:rsidRPr="008B02DA">
        <w:rPr>
          <w:b/>
          <w:u w:val="single"/>
        </w:rPr>
        <w:t>Ύστερα από τα παραπάνω και επειδή :</w:t>
      </w:r>
    </w:p>
    <w:p w:rsid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>1)  Ο παρών 2ος Α.Π.Ε.  συντάχθηκε για να τακτοποιήσει τις αυξομειώσεις ποσοτήτων όπως προέκυψαν κατά την ολοκλήρωση του έργου, και είναι σύμφωνες με την τελική επιμέτρηση.</w:t>
      </w:r>
    </w:p>
    <w:p w:rsidR="001037D9" w:rsidRPr="008B02DA" w:rsidRDefault="001037D9" w:rsidP="008B02DA">
      <w:pPr>
        <w:jc w:val="both"/>
        <w:rPr>
          <w:rFonts w:ascii="Arial" w:hAnsi="Arial" w:cs="Arial"/>
          <w:sz w:val="20"/>
          <w:szCs w:val="20"/>
        </w:rPr>
      </w:pPr>
    </w:p>
    <w:p w:rsid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>2) Συντρέχουν οι διατάξεις του Ν.3669/2008,  για την ανάλωση  των απροβλέπτων .</w:t>
      </w:r>
    </w:p>
    <w:p w:rsidR="001037D9" w:rsidRPr="008B02DA" w:rsidRDefault="001037D9" w:rsidP="008B02DA">
      <w:pPr>
        <w:jc w:val="both"/>
        <w:rPr>
          <w:rFonts w:ascii="Arial" w:hAnsi="Arial" w:cs="Arial"/>
          <w:sz w:val="20"/>
          <w:szCs w:val="20"/>
        </w:rPr>
      </w:pPr>
    </w:p>
    <w:p w:rsidR="008B02DA" w:rsidRP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 xml:space="preserve">3)  Δεν προκαλείται αλλαγή του βασικού σχεδίου της αρχικής σύμβασης. </w:t>
      </w:r>
    </w:p>
    <w:p w:rsidR="008B02DA" w:rsidRP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 xml:space="preserve">     Δεν θίγεται η πληρότητα , η ποιότητα και η λειτουργικότητα του έργου .</w:t>
      </w:r>
    </w:p>
    <w:p w:rsidR="008B02DA" w:rsidRP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 xml:space="preserve">     Δεν καταργείται μία ομάδα εργασιών της αρχικής σύμβασης .</w:t>
      </w:r>
    </w:p>
    <w:p w:rsidR="008B02DA" w:rsidRDefault="008B02DA" w:rsidP="008B02DA">
      <w:pPr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 xml:space="preserve">     Δεν  τροποποιούνται οι προδιαγραφές του έργου. </w:t>
      </w:r>
    </w:p>
    <w:p w:rsidR="001037D9" w:rsidRPr="008B02DA" w:rsidRDefault="001037D9" w:rsidP="008B02DA">
      <w:pPr>
        <w:jc w:val="both"/>
        <w:rPr>
          <w:rFonts w:ascii="Arial" w:hAnsi="Arial" w:cs="Arial"/>
          <w:sz w:val="20"/>
          <w:szCs w:val="20"/>
        </w:rPr>
      </w:pPr>
    </w:p>
    <w:p w:rsidR="008B02DA" w:rsidRDefault="008B02DA" w:rsidP="008B02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>4)Συντρέχουν οι διατάξεις του Ν.1418/84 και του Π.Δ.609/85, όπως τροποποιήθηκαν και συμπληρώθηκαν με τον Ν.2372/96 και το Π.Δ.334/2000 και ισχύουν σήμερα συνολικά με τον Ν.3669/08, για την απορρόφηση των απροβλέπτων.</w:t>
      </w:r>
    </w:p>
    <w:p w:rsidR="001037D9" w:rsidRPr="008B02DA" w:rsidRDefault="001037D9" w:rsidP="008B02D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B02DA" w:rsidRPr="008B02DA" w:rsidRDefault="008B02DA" w:rsidP="008B02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>Για τους παραπάνω λόγους :</w:t>
      </w:r>
    </w:p>
    <w:p w:rsidR="008B02DA" w:rsidRPr="001037D9" w:rsidRDefault="008B02DA" w:rsidP="008B02DA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37D9">
        <w:rPr>
          <w:rFonts w:ascii="Arial" w:hAnsi="Arial" w:cs="Arial"/>
          <w:b/>
          <w:sz w:val="20"/>
          <w:szCs w:val="20"/>
          <w:u w:val="single"/>
        </w:rPr>
        <w:t>Α Ι Τ Ο Υ Μ Α Σ Τ Ε</w:t>
      </w:r>
    </w:p>
    <w:p w:rsidR="008B02DA" w:rsidRPr="008B02DA" w:rsidRDefault="008B02DA" w:rsidP="008B02DA">
      <w:pPr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8B02DA" w:rsidRPr="008B02DA" w:rsidRDefault="008B02DA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B02DA">
        <w:rPr>
          <w:rFonts w:ascii="Arial" w:hAnsi="Arial" w:cs="Arial"/>
          <w:sz w:val="20"/>
          <w:szCs w:val="20"/>
        </w:rPr>
        <w:t xml:space="preserve">1)   Την έγκριση του 2ου Α.Π.Ε. ο οποίος είναι </w:t>
      </w:r>
      <w:proofErr w:type="spellStart"/>
      <w:r w:rsidRPr="008B02DA">
        <w:rPr>
          <w:rFonts w:ascii="Arial" w:hAnsi="Arial" w:cs="Arial"/>
          <w:sz w:val="20"/>
          <w:szCs w:val="20"/>
        </w:rPr>
        <w:t>τακτοποιητικός</w:t>
      </w:r>
      <w:proofErr w:type="spellEnd"/>
      <w:r w:rsidRPr="008B02DA">
        <w:rPr>
          <w:rFonts w:ascii="Arial" w:hAnsi="Arial" w:cs="Arial"/>
          <w:sz w:val="20"/>
          <w:szCs w:val="20"/>
        </w:rPr>
        <w:t>.</w:t>
      </w:r>
    </w:p>
    <w:p w:rsidR="008B02DA" w:rsidRPr="00927D65" w:rsidRDefault="008B02DA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</w:rPr>
      </w:pPr>
      <w:r>
        <w:rPr>
          <w:i/>
        </w:rPr>
        <w:t xml:space="preserve"> </w:t>
      </w:r>
    </w:p>
    <w:p w:rsidR="008B02DA" w:rsidRPr="0055343A" w:rsidRDefault="008B02DA" w:rsidP="008B02DA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5343A">
        <w:t xml:space="preserve">Συνημμένα:     - </w:t>
      </w:r>
      <w:r w:rsidRPr="0055343A">
        <w:rPr>
          <w:u w:val="single"/>
        </w:rPr>
        <w:t>2ος Α.Π.Ε.</w:t>
      </w:r>
      <w:r w:rsidRPr="0055343A">
        <w:t xml:space="preserve">    </w:t>
      </w:r>
    </w:p>
    <w:p w:rsidR="001037D9" w:rsidRDefault="001037D9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</w:rPr>
      </w:pPr>
    </w:p>
    <w:p w:rsidR="001037D9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244E4">
        <w:rPr>
          <w:rFonts w:ascii="Arial" w:hAnsi="Arial" w:cs="Arial"/>
          <w:sz w:val="22"/>
          <w:szCs w:val="22"/>
        </w:rPr>
        <w:t xml:space="preserve">Η ΑΝΤΙΔΗΜΑΡΧΟΣ </w:t>
      </w: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244E4">
        <w:rPr>
          <w:rFonts w:ascii="Arial" w:hAnsi="Arial" w:cs="Arial"/>
          <w:sz w:val="22"/>
          <w:szCs w:val="22"/>
        </w:rPr>
        <w:t>ΤΕΧΝΙΚΩΝ ΥΠΗΡΕΣΙΩΝ</w:t>
      </w: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244E4">
        <w:rPr>
          <w:rFonts w:ascii="Arial" w:hAnsi="Arial" w:cs="Arial"/>
          <w:sz w:val="22"/>
          <w:szCs w:val="22"/>
        </w:rPr>
        <w:t>ΕΛΙΣΑΒΕΤ ΠΕΤΣΑΤΩΔΗ</w:t>
      </w:r>
    </w:p>
    <w:p w:rsidR="0055343A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244E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</w:p>
    <w:p w:rsidR="004244E4" w:rsidRPr="004244E4" w:rsidRDefault="0055343A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244E4" w:rsidRPr="004244E4">
        <w:rPr>
          <w:rFonts w:ascii="Arial" w:hAnsi="Arial" w:cs="Arial"/>
          <w:sz w:val="22"/>
          <w:szCs w:val="22"/>
        </w:rPr>
        <w:t>Ο Γ.Γ.</w:t>
      </w: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4244E4" w:rsidRPr="004244E4" w:rsidRDefault="004244E4" w:rsidP="0055343A">
      <w:pPr>
        <w:widowControl w:val="0"/>
        <w:tabs>
          <w:tab w:val="center" w:pos="652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244E4">
        <w:rPr>
          <w:rFonts w:ascii="Arial" w:hAnsi="Arial" w:cs="Arial"/>
          <w:sz w:val="22"/>
          <w:szCs w:val="22"/>
        </w:rPr>
        <w:t>ΣΤΕΦΑΝΟΣ ΚΑΣΣΑΠΙΔΗΣ</w:t>
      </w:r>
    </w:p>
    <w:p w:rsidR="001037D9" w:rsidRDefault="001037D9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</w:rPr>
      </w:pPr>
    </w:p>
    <w:p w:rsidR="001037D9" w:rsidRDefault="001037D9" w:rsidP="008B02DA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</w:rPr>
      </w:pPr>
    </w:p>
    <w:p w:rsidR="008D4FB4" w:rsidRPr="0002189A" w:rsidRDefault="008D4FB4" w:rsidP="008D4FB4">
      <w:pPr>
        <w:ind w:left="360"/>
      </w:pPr>
    </w:p>
    <w:p w:rsidR="008D4FB4" w:rsidRPr="0002189A" w:rsidRDefault="008D4FB4" w:rsidP="008D4FB4">
      <w:pPr>
        <w:ind w:left="360"/>
      </w:pPr>
    </w:p>
    <w:p w:rsidR="000E3811" w:rsidRPr="0002189A" w:rsidRDefault="000E3811" w:rsidP="005806F3">
      <w:pPr>
        <w:adjustRightInd w:val="0"/>
        <w:rPr>
          <w:rFonts w:ascii="Arial" w:hAnsi="Arial" w:cs="Arial"/>
          <w:bCs/>
          <w:sz w:val="18"/>
          <w:szCs w:val="18"/>
        </w:rPr>
      </w:pPr>
    </w:p>
    <w:sectPr w:rsidR="000E3811" w:rsidRPr="0002189A" w:rsidSect="00706E1B">
      <w:pgSz w:w="11906" w:h="16838"/>
      <w:pgMar w:top="1276" w:right="1274" w:bottom="851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51B"/>
    <w:multiLevelType w:val="hybridMultilevel"/>
    <w:tmpl w:val="F79CCE8C"/>
    <w:lvl w:ilvl="0" w:tplc="17EE72D6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66" w:hanging="360"/>
      </w:pPr>
    </w:lvl>
    <w:lvl w:ilvl="2" w:tplc="0408001B" w:tentative="1">
      <w:start w:val="1"/>
      <w:numFmt w:val="lowerRoman"/>
      <w:lvlText w:val="%3."/>
      <w:lvlJc w:val="right"/>
      <w:pPr>
        <w:ind w:left="2286" w:hanging="180"/>
      </w:pPr>
    </w:lvl>
    <w:lvl w:ilvl="3" w:tplc="0408000F" w:tentative="1">
      <w:start w:val="1"/>
      <w:numFmt w:val="decimal"/>
      <w:lvlText w:val="%4."/>
      <w:lvlJc w:val="left"/>
      <w:pPr>
        <w:ind w:left="3006" w:hanging="360"/>
      </w:pPr>
    </w:lvl>
    <w:lvl w:ilvl="4" w:tplc="04080019" w:tentative="1">
      <w:start w:val="1"/>
      <w:numFmt w:val="lowerLetter"/>
      <w:lvlText w:val="%5."/>
      <w:lvlJc w:val="left"/>
      <w:pPr>
        <w:ind w:left="3726" w:hanging="360"/>
      </w:pPr>
    </w:lvl>
    <w:lvl w:ilvl="5" w:tplc="0408001B" w:tentative="1">
      <w:start w:val="1"/>
      <w:numFmt w:val="lowerRoman"/>
      <w:lvlText w:val="%6."/>
      <w:lvlJc w:val="right"/>
      <w:pPr>
        <w:ind w:left="4446" w:hanging="180"/>
      </w:pPr>
    </w:lvl>
    <w:lvl w:ilvl="6" w:tplc="0408000F" w:tentative="1">
      <w:start w:val="1"/>
      <w:numFmt w:val="decimal"/>
      <w:lvlText w:val="%7."/>
      <w:lvlJc w:val="left"/>
      <w:pPr>
        <w:ind w:left="5166" w:hanging="360"/>
      </w:pPr>
    </w:lvl>
    <w:lvl w:ilvl="7" w:tplc="04080019" w:tentative="1">
      <w:start w:val="1"/>
      <w:numFmt w:val="lowerLetter"/>
      <w:lvlText w:val="%8."/>
      <w:lvlJc w:val="left"/>
      <w:pPr>
        <w:ind w:left="5886" w:hanging="360"/>
      </w:pPr>
    </w:lvl>
    <w:lvl w:ilvl="8" w:tplc="0408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09D7307F"/>
    <w:multiLevelType w:val="hybridMultilevel"/>
    <w:tmpl w:val="45380A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D0AE7"/>
    <w:multiLevelType w:val="hybridMultilevel"/>
    <w:tmpl w:val="02B89B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A075E"/>
    <w:multiLevelType w:val="hybridMultilevel"/>
    <w:tmpl w:val="AC9A118E"/>
    <w:lvl w:ilvl="0" w:tplc="07E657E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7309"/>
    <w:multiLevelType w:val="hybridMultilevel"/>
    <w:tmpl w:val="F72ABAF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46120"/>
    <w:multiLevelType w:val="hybridMultilevel"/>
    <w:tmpl w:val="CBC6FE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454523"/>
    <w:multiLevelType w:val="hybridMultilevel"/>
    <w:tmpl w:val="BCD83FE4"/>
    <w:lvl w:ilvl="0" w:tplc="0408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A4D7A"/>
    <w:multiLevelType w:val="hybridMultilevel"/>
    <w:tmpl w:val="205CE9B2"/>
    <w:lvl w:ilvl="0" w:tplc="0408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D7988"/>
    <w:multiLevelType w:val="hybridMultilevel"/>
    <w:tmpl w:val="D45EA078"/>
    <w:lvl w:ilvl="0" w:tplc="0408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16B"/>
    <w:rsid w:val="00007413"/>
    <w:rsid w:val="00010D5A"/>
    <w:rsid w:val="0002137E"/>
    <w:rsid w:val="0002189A"/>
    <w:rsid w:val="0006127B"/>
    <w:rsid w:val="00071DF8"/>
    <w:rsid w:val="000C4C7A"/>
    <w:rsid w:val="000E3811"/>
    <w:rsid w:val="001037D9"/>
    <w:rsid w:val="00132AD0"/>
    <w:rsid w:val="001743CD"/>
    <w:rsid w:val="00195A12"/>
    <w:rsid w:val="001C4A7D"/>
    <w:rsid w:val="001F13C9"/>
    <w:rsid w:val="001F6766"/>
    <w:rsid w:val="0024310C"/>
    <w:rsid w:val="00245CFD"/>
    <w:rsid w:val="00257090"/>
    <w:rsid w:val="00270EB9"/>
    <w:rsid w:val="0028318E"/>
    <w:rsid w:val="002A0ADE"/>
    <w:rsid w:val="002B04B7"/>
    <w:rsid w:val="002C0F2D"/>
    <w:rsid w:val="002D5044"/>
    <w:rsid w:val="00311CCA"/>
    <w:rsid w:val="00321310"/>
    <w:rsid w:val="0034328B"/>
    <w:rsid w:val="0036431A"/>
    <w:rsid w:val="0036584A"/>
    <w:rsid w:val="00377AA0"/>
    <w:rsid w:val="003D05BC"/>
    <w:rsid w:val="003D47C1"/>
    <w:rsid w:val="003D51FD"/>
    <w:rsid w:val="00406255"/>
    <w:rsid w:val="004242E3"/>
    <w:rsid w:val="004244E4"/>
    <w:rsid w:val="00442D83"/>
    <w:rsid w:val="00451939"/>
    <w:rsid w:val="0046184B"/>
    <w:rsid w:val="004B286F"/>
    <w:rsid w:val="004B616B"/>
    <w:rsid w:val="004C56E8"/>
    <w:rsid w:val="004D458C"/>
    <w:rsid w:val="005248BE"/>
    <w:rsid w:val="0055343A"/>
    <w:rsid w:val="00574637"/>
    <w:rsid w:val="005806F3"/>
    <w:rsid w:val="00592B2B"/>
    <w:rsid w:val="005B11E3"/>
    <w:rsid w:val="005B2CEA"/>
    <w:rsid w:val="005B4347"/>
    <w:rsid w:val="005D5785"/>
    <w:rsid w:val="00656A39"/>
    <w:rsid w:val="00666953"/>
    <w:rsid w:val="00682253"/>
    <w:rsid w:val="00691BB4"/>
    <w:rsid w:val="00706E1B"/>
    <w:rsid w:val="00730727"/>
    <w:rsid w:val="00750499"/>
    <w:rsid w:val="00750A4B"/>
    <w:rsid w:val="007543BF"/>
    <w:rsid w:val="00787252"/>
    <w:rsid w:val="007C3775"/>
    <w:rsid w:val="007D0C65"/>
    <w:rsid w:val="007D2627"/>
    <w:rsid w:val="007E44FC"/>
    <w:rsid w:val="007E7BA6"/>
    <w:rsid w:val="007F12DF"/>
    <w:rsid w:val="007F4410"/>
    <w:rsid w:val="008122D7"/>
    <w:rsid w:val="00814A6A"/>
    <w:rsid w:val="00834EEB"/>
    <w:rsid w:val="00850E6F"/>
    <w:rsid w:val="008613C3"/>
    <w:rsid w:val="00890339"/>
    <w:rsid w:val="008B02DA"/>
    <w:rsid w:val="008D4FB4"/>
    <w:rsid w:val="008D7813"/>
    <w:rsid w:val="008F4DF0"/>
    <w:rsid w:val="0091138E"/>
    <w:rsid w:val="00982BCA"/>
    <w:rsid w:val="009A4FDF"/>
    <w:rsid w:val="009C05D1"/>
    <w:rsid w:val="009E3C96"/>
    <w:rsid w:val="00A13443"/>
    <w:rsid w:val="00A13F2C"/>
    <w:rsid w:val="00A174BB"/>
    <w:rsid w:val="00A55042"/>
    <w:rsid w:val="00A76CB0"/>
    <w:rsid w:val="00A87DDC"/>
    <w:rsid w:val="00AA59EA"/>
    <w:rsid w:val="00B34C9C"/>
    <w:rsid w:val="00B83D32"/>
    <w:rsid w:val="00BA2559"/>
    <w:rsid w:val="00BA7A0F"/>
    <w:rsid w:val="00BC12F9"/>
    <w:rsid w:val="00C05C1B"/>
    <w:rsid w:val="00C4200B"/>
    <w:rsid w:val="00CA3981"/>
    <w:rsid w:val="00D12EF0"/>
    <w:rsid w:val="00D36563"/>
    <w:rsid w:val="00D453D8"/>
    <w:rsid w:val="00D73AA8"/>
    <w:rsid w:val="00D75642"/>
    <w:rsid w:val="00D972E7"/>
    <w:rsid w:val="00E0193F"/>
    <w:rsid w:val="00E042DA"/>
    <w:rsid w:val="00E04F7C"/>
    <w:rsid w:val="00E055B4"/>
    <w:rsid w:val="00E53CE9"/>
    <w:rsid w:val="00E567B4"/>
    <w:rsid w:val="00E76FC9"/>
    <w:rsid w:val="00E85437"/>
    <w:rsid w:val="00E8662D"/>
    <w:rsid w:val="00E91C43"/>
    <w:rsid w:val="00E95C10"/>
    <w:rsid w:val="00ED0E39"/>
    <w:rsid w:val="00EF6271"/>
    <w:rsid w:val="00F216E7"/>
    <w:rsid w:val="00F33161"/>
    <w:rsid w:val="00F60688"/>
    <w:rsid w:val="00F773C1"/>
    <w:rsid w:val="00FA0530"/>
    <w:rsid w:val="00FF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B2CEA"/>
    <w:pPr>
      <w:keepNext/>
      <w:outlineLvl w:val="0"/>
    </w:pPr>
    <w:rPr>
      <w:b/>
      <w:szCs w:val="20"/>
      <w:lang w:val="en-US"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4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B2CE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A174BB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semiHidden/>
    <w:rsid w:val="00754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table" w:styleId="a4">
    <w:name w:val="Table Grid"/>
    <w:basedOn w:val="a1"/>
    <w:uiPriority w:val="59"/>
    <w:rsid w:val="00AA5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8613C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613C3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B2CEA"/>
    <w:pPr>
      <w:keepNext/>
      <w:outlineLvl w:val="0"/>
    </w:pPr>
    <w:rPr>
      <w:b/>
      <w:szCs w:val="20"/>
      <w:lang w:val="en-US"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4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B2CEA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List Paragraph"/>
    <w:basedOn w:val="a"/>
    <w:uiPriority w:val="34"/>
    <w:qFormat/>
    <w:rsid w:val="00A174BB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semiHidden/>
    <w:rsid w:val="00754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table" w:styleId="a4">
    <w:name w:val="Table Grid"/>
    <w:basedOn w:val="a1"/>
    <w:uiPriority w:val="59"/>
    <w:rsid w:val="00AA5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8613C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613C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22C68-85A2-46BD-99A0-6F1480DA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ΛΙΑΝΑ</dc:creator>
  <cp:lastModifiedBy>ivou</cp:lastModifiedBy>
  <cp:revision>3</cp:revision>
  <cp:lastPrinted>2015-12-14T11:26:00Z</cp:lastPrinted>
  <dcterms:created xsi:type="dcterms:W3CDTF">2015-12-14T11:51:00Z</dcterms:created>
  <dcterms:modified xsi:type="dcterms:W3CDTF">2015-12-14T12:25:00Z</dcterms:modified>
</cp:coreProperties>
</file>