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61" w:rsidRPr="00C96B61" w:rsidRDefault="00C96B61" w:rsidP="00C96B61">
      <w:pPr>
        <w:spacing w:after="0" w:line="312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b/>
          <w:sz w:val="20"/>
          <w:szCs w:val="20"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5" o:title=""/>
          </v:shape>
          <o:OLEObject Type="Embed" ProgID="Word.Picture.8" ShapeID="_x0000_i1025" DrawAspect="Content" ObjectID="_1465195858" r:id="rId6"/>
        </w:object>
      </w:r>
      <w:r w:rsidRPr="00C96B61">
        <w:rPr>
          <w:rFonts w:ascii="Arial" w:hAnsi="Arial" w:cs="Arial"/>
          <w:b/>
          <w:sz w:val="20"/>
          <w:szCs w:val="20"/>
        </w:rPr>
        <w:tab/>
      </w:r>
      <w:r w:rsidRPr="00C96B61">
        <w:rPr>
          <w:rFonts w:ascii="Arial" w:hAnsi="Arial" w:cs="Arial"/>
          <w:b/>
          <w:sz w:val="20"/>
          <w:szCs w:val="20"/>
        </w:rPr>
        <w:tab/>
      </w:r>
      <w:r w:rsidRPr="00C96B61">
        <w:rPr>
          <w:rFonts w:ascii="Arial" w:hAnsi="Arial" w:cs="Arial"/>
          <w:b/>
          <w:sz w:val="20"/>
          <w:szCs w:val="20"/>
        </w:rPr>
        <w:tab/>
      </w:r>
      <w:r w:rsidRPr="00C96B61">
        <w:rPr>
          <w:rFonts w:ascii="Arial" w:hAnsi="Arial" w:cs="Arial"/>
          <w:b/>
          <w:sz w:val="20"/>
          <w:szCs w:val="20"/>
        </w:rPr>
        <w:tab/>
      </w:r>
      <w:r w:rsidRPr="00C96B61">
        <w:rPr>
          <w:rFonts w:ascii="Arial" w:hAnsi="Arial" w:cs="Arial"/>
          <w:b/>
          <w:sz w:val="20"/>
          <w:szCs w:val="20"/>
        </w:rPr>
        <w:tab/>
      </w:r>
      <w:r w:rsidRPr="00C96B61">
        <w:rPr>
          <w:rFonts w:ascii="Arial" w:hAnsi="Arial" w:cs="Arial"/>
          <w:b/>
          <w:sz w:val="20"/>
          <w:szCs w:val="20"/>
        </w:rPr>
        <w:tab/>
        <w:t>ΣΧΕΔΙΟ</w:t>
      </w:r>
    </w:p>
    <w:p w:rsidR="00C96B61" w:rsidRPr="00251E6A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>ΕΛΛΗΝΙΚΗ ΔΗΜ</w:t>
      </w:r>
      <w:r w:rsidR="00F60AE0">
        <w:rPr>
          <w:rFonts w:ascii="Arial" w:hAnsi="Arial" w:cs="Arial"/>
          <w:sz w:val="20"/>
          <w:szCs w:val="20"/>
        </w:rPr>
        <w:t>ΟΚΡΑΤΙΑ</w:t>
      </w:r>
      <w:r w:rsidR="00F60AE0">
        <w:rPr>
          <w:rFonts w:ascii="Arial" w:hAnsi="Arial" w:cs="Arial"/>
          <w:sz w:val="20"/>
          <w:szCs w:val="20"/>
        </w:rPr>
        <w:tab/>
      </w:r>
      <w:r w:rsidR="00F60AE0">
        <w:rPr>
          <w:rFonts w:ascii="Arial" w:hAnsi="Arial" w:cs="Arial"/>
          <w:sz w:val="20"/>
          <w:szCs w:val="20"/>
        </w:rPr>
        <w:tab/>
      </w:r>
      <w:r w:rsidR="00F60AE0">
        <w:rPr>
          <w:rFonts w:ascii="Arial" w:hAnsi="Arial" w:cs="Arial"/>
          <w:sz w:val="20"/>
          <w:szCs w:val="20"/>
        </w:rPr>
        <w:tab/>
      </w:r>
      <w:r w:rsidR="00F60AE0">
        <w:rPr>
          <w:rFonts w:ascii="Arial" w:hAnsi="Arial" w:cs="Arial"/>
          <w:sz w:val="20"/>
          <w:szCs w:val="20"/>
        </w:rPr>
        <w:tab/>
        <w:t>Αγία Παρασκευή</w:t>
      </w:r>
      <w:r w:rsidR="0020783A" w:rsidRPr="0020783A">
        <w:rPr>
          <w:rFonts w:ascii="Arial" w:hAnsi="Arial" w:cs="Arial"/>
          <w:sz w:val="20"/>
          <w:szCs w:val="20"/>
        </w:rPr>
        <w:t xml:space="preserve"> </w:t>
      </w:r>
      <w:r w:rsidR="00F60AE0">
        <w:rPr>
          <w:rFonts w:ascii="Arial" w:hAnsi="Arial" w:cs="Arial"/>
          <w:sz w:val="20"/>
          <w:szCs w:val="20"/>
        </w:rPr>
        <w:t xml:space="preserve"> </w:t>
      </w:r>
      <w:r w:rsidR="00251E6A" w:rsidRPr="0020783A">
        <w:rPr>
          <w:rFonts w:ascii="Arial" w:hAnsi="Arial" w:cs="Arial"/>
          <w:sz w:val="20"/>
          <w:szCs w:val="20"/>
        </w:rPr>
        <w:t>2</w:t>
      </w:r>
      <w:r w:rsidR="0020783A" w:rsidRPr="009E3C7D">
        <w:rPr>
          <w:rFonts w:ascii="Arial" w:hAnsi="Arial" w:cs="Arial"/>
          <w:sz w:val="20"/>
          <w:szCs w:val="20"/>
        </w:rPr>
        <w:t>5</w:t>
      </w:r>
      <w:r w:rsidR="00F60AE0">
        <w:rPr>
          <w:rFonts w:ascii="Arial" w:hAnsi="Arial" w:cs="Arial"/>
          <w:sz w:val="20"/>
          <w:szCs w:val="20"/>
        </w:rPr>
        <w:t xml:space="preserve"> / </w:t>
      </w:r>
      <w:r w:rsidR="00F60AE0" w:rsidRPr="00251E6A">
        <w:rPr>
          <w:rFonts w:ascii="Arial" w:hAnsi="Arial" w:cs="Arial"/>
          <w:sz w:val="20"/>
          <w:szCs w:val="20"/>
        </w:rPr>
        <w:t>06</w:t>
      </w:r>
      <w:r w:rsidRPr="00C96B61">
        <w:rPr>
          <w:rFonts w:ascii="Arial" w:hAnsi="Arial" w:cs="Arial"/>
          <w:sz w:val="20"/>
          <w:szCs w:val="20"/>
        </w:rPr>
        <w:t xml:space="preserve"> / 201</w:t>
      </w:r>
      <w:r w:rsidR="00F60AE0" w:rsidRPr="00251E6A">
        <w:rPr>
          <w:rFonts w:ascii="Arial" w:hAnsi="Arial" w:cs="Arial"/>
          <w:sz w:val="20"/>
          <w:szCs w:val="20"/>
        </w:rPr>
        <w:t>4</w:t>
      </w:r>
    </w:p>
    <w:p w:rsidR="00C96B61" w:rsidRPr="00C96B61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>ΝΟΜΟΣ ΑΤΤΙΚΗΣ</w:t>
      </w:r>
    </w:p>
    <w:p w:rsidR="00C96B61" w:rsidRPr="009E3C7D" w:rsidRDefault="00C96B61" w:rsidP="00C96B61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C96B61">
        <w:rPr>
          <w:rFonts w:ascii="Arial" w:hAnsi="Arial" w:cs="Arial"/>
          <w:sz w:val="20"/>
          <w:szCs w:val="20"/>
        </w:rPr>
        <w:t>ΔΗΜΟΣ ΑΓΙΑΣ ΠΑΡΑΣΚΕΥΗΣ</w:t>
      </w:r>
      <w:r w:rsidRPr="00C96B61">
        <w:rPr>
          <w:rFonts w:ascii="Arial" w:hAnsi="Arial" w:cs="Arial"/>
          <w:sz w:val="20"/>
          <w:szCs w:val="20"/>
        </w:rPr>
        <w:tab/>
      </w:r>
      <w:r w:rsidRPr="00C96B61">
        <w:rPr>
          <w:rFonts w:ascii="Arial" w:hAnsi="Arial" w:cs="Arial"/>
          <w:sz w:val="20"/>
          <w:szCs w:val="20"/>
        </w:rPr>
        <w:tab/>
      </w:r>
      <w:r w:rsidRPr="00C96B61">
        <w:rPr>
          <w:rFonts w:ascii="Arial" w:hAnsi="Arial" w:cs="Arial"/>
          <w:sz w:val="20"/>
          <w:szCs w:val="20"/>
        </w:rPr>
        <w:tab/>
      </w:r>
      <w:r w:rsidRPr="00C96B61">
        <w:rPr>
          <w:rFonts w:ascii="Arial" w:hAnsi="Arial" w:cs="Arial"/>
          <w:sz w:val="20"/>
          <w:szCs w:val="20"/>
        </w:rPr>
        <w:tab/>
      </w:r>
      <w:r w:rsidRPr="00C96B61">
        <w:rPr>
          <w:rFonts w:ascii="Arial" w:hAnsi="Arial" w:cs="Arial"/>
          <w:sz w:val="20"/>
          <w:szCs w:val="20"/>
        </w:rPr>
        <w:tab/>
        <w:t>Αρ. Πρωτ.</w:t>
      </w:r>
      <w:r w:rsidR="00251E6A">
        <w:rPr>
          <w:rFonts w:ascii="Arial" w:hAnsi="Arial" w:cs="Arial"/>
          <w:sz w:val="20"/>
          <w:szCs w:val="20"/>
        </w:rPr>
        <w:t>:</w:t>
      </w:r>
      <w:r w:rsidR="009E3C7D" w:rsidRPr="009E3C7D">
        <w:rPr>
          <w:rFonts w:ascii="Arial" w:hAnsi="Arial" w:cs="Arial"/>
          <w:sz w:val="20"/>
          <w:szCs w:val="20"/>
        </w:rPr>
        <w:t>2</w:t>
      </w:r>
      <w:r w:rsidR="009E3C7D">
        <w:rPr>
          <w:rFonts w:ascii="Arial" w:hAnsi="Arial" w:cs="Arial"/>
          <w:sz w:val="20"/>
          <w:szCs w:val="20"/>
          <w:lang w:val="en-US"/>
        </w:rPr>
        <w:t>4877</w:t>
      </w:r>
    </w:p>
    <w:p w:rsidR="00C96B61" w:rsidRPr="00C96B61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>ΔΙΕΥΘΥΝΣΗ ΟΙΚΟΝΟΜΙΚΩΝ ΥΠΗΡΕΣΙΩΝ</w:t>
      </w:r>
    </w:p>
    <w:p w:rsidR="00C96B61" w:rsidRPr="00C96B61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>ΤΜΗΜΑ ΛΟΓΙΣΤΗΡΙΟΥ ΠΡΟΥΠΟΛΟΓΙΣΜΟΥ</w:t>
      </w:r>
    </w:p>
    <w:p w:rsidR="00C96B61" w:rsidRPr="00C96B61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>&amp; ΠΡΟΜΗΘΕΙΩΝ</w:t>
      </w:r>
    </w:p>
    <w:p w:rsidR="00C96B61" w:rsidRPr="00C96B61" w:rsidRDefault="00C96B61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B61">
        <w:rPr>
          <w:rFonts w:ascii="Arial" w:hAnsi="Arial" w:cs="Arial"/>
          <w:sz w:val="20"/>
          <w:szCs w:val="20"/>
        </w:rPr>
        <w:t xml:space="preserve">Πληροφ. : </w:t>
      </w:r>
      <w:proofErr w:type="spellStart"/>
      <w:r w:rsidR="00F60AE0">
        <w:rPr>
          <w:rFonts w:ascii="Arial" w:hAnsi="Arial" w:cs="Arial"/>
          <w:sz w:val="20"/>
          <w:szCs w:val="20"/>
        </w:rPr>
        <w:t>Αικ.Κουνέλη</w:t>
      </w:r>
      <w:proofErr w:type="spellEnd"/>
    </w:p>
    <w:p w:rsidR="00C96B61" w:rsidRPr="00C96B61" w:rsidRDefault="00F60AE0" w:rsidP="00C96B61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>. 2132004547</w:t>
      </w:r>
    </w:p>
    <w:p w:rsidR="005A0866" w:rsidRPr="005A0866" w:rsidRDefault="005A0866" w:rsidP="005A0866">
      <w:pPr>
        <w:spacing w:after="0" w:line="240" w:lineRule="auto"/>
        <w:ind w:firstLine="4678"/>
        <w:jc w:val="both"/>
        <w:rPr>
          <w:rFonts w:cstheme="minorHAnsi"/>
        </w:rPr>
      </w:pPr>
      <w:r w:rsidRPr="005A0866">
        <w:rPr>
          <w:rFonts w:cstheme="minorHAnsi"/>
        </w:rPr>
        <w:t xml:space="preserve">ΠΡΟΣ </w:t>
      </w:r>
    </w:p>
    <w:p w:rsidR="005A0866" w:rsidRPr="005A0866" w:rsidRDefault="005A0866" w:rsidP="005A0866">
      <w:pPr>
        <w:spacing w:after="0" w:line="240" w:lineRule="auto"/>
        <w:ind w:firstLine="4678"/>
        <w:jc w:val="both"/>
        <w:rPr>
          <w:rFonts w:cstheme="minorHAnsi"/>
        </w:rPr>
      </w:pPr>
      <w:r w:rsidRPr="005A0866">
        <w:rPr>
          <w:rFonts w:cstheme="minorHAnsi"/>
        </w:rPr>
        <w:t>Τ</w:t>
      </w:r>
      <w:r w:rsidR="0020783A">
        <w:rPr>
          <w:rFonts w:cstheme="minorHAnsi"/>
        </w:rPr>
        <w:t>Ο ΔΗΜΟΤΙΚΟ ΣΥΜΒΟΥΛΙΟ</w:t>
      </w:r>
    </w:p>
    <w:p w:rsidR="00941986" w:rsidRDefault="00941986" w:rsidP="005A0866">
      <w:pPr>
        <w:spacing w:after="0" w:line="240" w:lineRule="auto"/>
        <w:ind w:firstLine="4253"/>
        <w:jc w:val="both"/>
        <w:rPr>
          <w:rFonts w:cstheme="minorHAnsi"/>
        </w:rPr>
      </w:pPr>
      <w:r w:rsidRPr="00941986">
        <w:rPr>
          <w:rFonts w:cstheme="minorHAnsi"/>
        </w:rPr>
        <w:tab/>
      </w:r>
      <w:r w:rsidRPr="00941986">
        <w:rPr>
          <w:rFonts w:cstheme="minorHAnsi"/>
        </w:rPr>
        <w:tab/>
      </w:r>
      <w:r w:rsidRPr="00941986">
        <w:rPr>
          <w:rFonts w:cstheme="minorHAnsi"/>
        </w:rPr>
        <w:tab/>
      </w:r>
      <w:r w:rsidRPr="00941986">
        <w:rPr>
          <w:rFonts w:cstheme="minorHAnsi"/>
        </w:rPr>
        <w:tab/>
      </w:r>
    </w:p>
    <w:p w:rsidR="00941986" w:rsidRDefault="00941986" w:rsidP="00941986">
      <w:pPr>
        <w:spacing w:after="0" w:line="240" w:lineRule="auto"/>
        <w:ind w:firstLine="4253"/>
        <w:jc w:val="both"/>
        <w:rPr>
          <w:rFonts w:cstheme="minorHAnsi"/>
          <w:b/>
        </w:rPr>
      </w:pPr>
    </w:p>
    <w:p w:rsidR="00941986" w:rsidRPr="00941986" w:rsidRDefault="00941986" w:rsidP="00D53032">
      <w:pPr>
        <w:spacing w:after="0" w:line="240" w:lineRule="auto"/>
        <w:jc w:val="both"/>
        <w:rPr>
          <w:rFonts w:cstheme="minorHAnsi"/>
        </w:rPr>
      </w:pPr>
      <w:r w:rsidRPr="00941986">
        <w:rPr>
          <w:rFonts w:cstheme="minorHAnsi"/>
          <w:b/>
        </w:rPr>
        <w:t xml:space="preserve">Θ Ε Μ Α: </w:t>
      </w:r>
      <w:r w:rsidRPr="00941986">
        <w:rPr>
          <w:rFonts w:cstheme="minorHAnsi"/>
        </w:rPr>
        <w:t>«</w:t>
      </w:r>
      <w:r w:rsidR="00F60AE0" w:rsidRPr="00F60AE0">
        <w:rPr>
          <w:rFonts w:cstheme="minorHAnsi"/>
        </w:rPr>
        <w:t>1</w:t>
      </w:r>
      <w:r w:rsidR="00D53032" w:rsidRPr="00D53032">
        <w:rPr>
          <w:rFonts w:cstheme="minorHAnsi"/>
        </w:rPr>
        <w:t>η Αποδέσμευση αποφάσεων ανάληψης υποχρέωσης σε βάρος κωδικών αριθμών του  προϋπολογισμού 201</w:t>
      </w:r>
      <w:r w:rsidR="00F60AE0" w:rsidRPr="00F60AE0">
        <w:rPr>
          <w:rFonts w:cstheme="minorHAnsi"/>
        </w:rPr>
        <w:t>4</w:t>
      </w:r>
      <w:r w:rsidR="00D53032" w:rsidRPr="00D53032">
        <w:rPr>
          <w:rFonts w:cstheme="minorHAnsi"/>
        </w:rPr>
        <w:t xml:space="preserve"> του Δήμου</w:t>
      </w:r>
      <w:r w:rsidR="00F80473" w:rsidRPr="00F80473">
        <w:rPr>
          <w:rFonts w:cstheme="minorHAnsi"/>
        </w:rPr>
        <w:t>.</w:t>
      </w:r>
      <w:r w:rsidRPr="00941986">
        <w:rPr>
          <w:rFonts w:cstheme="minorHAnsi"/>
        </w:rPr>
        <w:t>»</w:t>
      </w:r>
    </w:p>
    <w:p w:rsidR="00941986" w:rsidRPr="00852910" w:rsidRDefault="00941986" w:rsidP="0094198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B50BD0" w:rsidRDefault="00B50BD0" w:rsidP="00732AD1">
      <w:pPr>
        <w:spacing w:after="0"/>
        <w:ind w:firstLine="720"/>
        <w:jc w:val="both"/>
      </w:pPr>
      <w:r>
        <w:rPr>
          <w:rFonts w:ascii="Calibri" w:hAnsi="Calibri" w:cs="Calibri"/>
        </w:rPr>
        <w:t xml:space="preserve">Σύμφωνα με τις διατάξεις της παρ. 5, του άρθρου 4, του </w:t>
      </w:r>
      <w:proofErr w:type="spellStart"/>
      <w:r>
        <w:rPr>
          <w:rFonts w:ascii="Calibri" w:hAnsi="Calibri" w:cs="Calibri"/>
        </w:rPr>
        <w:t>π.δ</w:t>
      </w:r>
      <w:proofErr w:type="spellEnd"/>
      <w:r>
        <w:rPr>
          <w:rFonts w:ascii="Calibri" w:hAnsi="Calibri" w:cs="Calibri"/>
        </w:rPr>
        <w:t>. 113/2010 (Α.194) αναλήψεις υποχρεώσεων που δεν έχουν εκτελεστεί εν</w:t>
      </w:r>
      <w:r>
        <w:t xml:space="preserve"> </w:t>
      </w:r>
      <w:proofErr w:type="spellStart"/>
      <w:r>
        <w:t>όλω</w:t>
      </w:r>
      <w:proofErr w:type="spellEnd"/>
      <w:r>
        <w:t xml:space="preserve"> ή εν μέρει, για οποιοδήποτε λόγο (ματαίωση πραγματοποίησης της δαπάνης, δέσμευση πίστωσης μεγαλύτερου ύψους από την τελικώς πληρωθείσα δαπάνη κλπ.) ανατρέπονται μέχρι το τέλος του οικείου οικονομικού έτους, με ανακλητική απόφαση του </w:t>
      </w:r>
      <w:proofErr w:type="spellStart"/>
      <w:r>
        <w:t>διατάκτη</w:t>
      </w:r>
      <w:proofErr w:type="spellEnd"/>
      <w:r w:rsidR="00A41154">
        <w:t>,</w:t>
      </w:r>
      <w:r w:rsidR="00E0484B" w:rsidRPr="00E0484B">
        <w:t xml:space="preserve"> </w:t>
      </w:r>
      <w:r w:rsidR="00944A46">
        <w:t xml:space="preserve">δηλαδή </w:t>
      </w:r>
      <w:r w:rsidR="00944A46" w:rsidRPr="00944A46">
        <w:t>του αρμοδίου κατά περίπτωση οργάνου διάθεσης της πίστωσης (δημάρχου, οικονομικής επιτροπής, δημοτικού συμβουλίου)</w:t>
      </w:r>
      <w:r>
        <w:t>. Στην συνέχεια με αρνητικές εγγραφές τόσο στο μητρώο δεσμεύσεων του φορέα, όσο και στο βιβλίο εγκρίσεων και εντολών πληρωμής, διαγράφονται τα αντίστοιχα ποσά και αποδεσμεύονται οι σχετικές πιστώσεις.</w:t>
      </w:r>
    </w:p>
    <w:p w:rsidR="00732AD1" w:rsidRDefault="00732AD1" w:rsidP="00732AD1">
      <w:pPr>
        <w:spacing w:after="0"/>
        <w:ind w:firstLine="720"/>
        <w:jc w:val="both"/>
      </w:pPr>
    </w:p>
    <w:p w:rsidR="006D026E" w:rsidRDefault="00941986" w:rsidP="00FB6038">
      <w:pPr>
        <w:spacing w:after="0"/>
        <w:jc w:val="both"/>
      </w:pPr>
      <w:r>
        <w:t>Οι εν λόγω αποφάσεις δύναται να εκδίδονται είτε ξεχωριστά είτε για κάθε μία ανάληψη υποχρέωσης που ανατρέπεται</w:t>
      </w:r>
      <w:r w:rsidR="00E0484B">
        <w:t>,</w:t>
      </w:r>
      <w:r>
        <w:t xml:space="preserve"> είτε συγκεντρωτικά </w:t>
      </w:r>
      <w:r w:rsidR="00E0484B">
        <w:t>ανά</w:t>
      </w:r>
      <w:r>
        <w:t xml:space="preserve"> κωδικό αριθμό εξόδ</w:t>
      </w:r>
      <w:r w:rsidR="00E0484B">
        <w:t>ων</w:t>
      </w:r>
      <w:r>
        <w:t xml:space="preserve"> (ΚΑΕ) για το συνολικό ποσό ανάληψης υποχρέωσης που πρέπει να ανατραπεί στο εν λόγω ΚΑΕ, ανάλογα </w:t>
      </w:r>
    </w:p>
    <w:p w:rsidR="00732AD1" w:rsidRPr="006D026E" w:rsidRDefault="00732AD1" w:rsidP="00732AD1">
      <w:pPr>
        <w:spacing w:after="0"/>
        <w:jc w:val="both"/>
      </w:pPr>
    </w:p>
    <w:p w:rsidR="00944A46" w:rsidRDefault="00944A46" w:rsidP="00732AD1">
      <w:pPr>
        <w:spacing w:after="0"/>
        <w:jc w:val="both"/>
      </w:pPr>
      <w:r>
        <w:t xml:space="preserve">Η αρμοδιότητα διάθεσης των πιστώσεων και έγκρισης των δαπανών ανήκει κατά κανόνα στην οικονομική επιτροπή (άρθρο 72 παρ. 1 </w:t>
      </w:r>
      <w:proofErr w:type="spellStart"/>
      <w:r>
        <w:t>περίπτ</w:t>
      </w:r>
      <w:proofErr w:type="spellEnd"/>
      <w:r>
        <w:t>. δ' Ν 3852/2010) και κατ' εξαίρεση στο δημοτικό συμβούλιο και στο δήμαρχο (άρθρο 158 παρ. 3 και 4 Ν 3463/2006).</w:t>
      </w:r>
    </w:p>
    <w:p w:rsidR="00675003" w:rsidRDefault="003E2173" w:rsidP="00732AD1">
      <w:pPr>
        <w:spacing w:after="0"/>
        <w:jc w:val="both"/>
      </w:pPr>
      <w:r>
        <w:t>Κατόπιν των ανωτέρω, α</w:t>
      </w:r>
      <w:r w:rsidR="00944A46">
        <w:t xml:space="preserve">φού λάβετε </w:t>
      </w:r>
      <w:r w:rsidR="00732AD1">
        <w:t xml:space="preserve">λοιπόν </w:t>
      </w:r>
      <w:r w:rsidR="00944A46">
        <w:t xml:space="preserve">υπόψη </w:t>
      </w:r>
    </w:p>
    <w:p w:rsidR="00944A46" w:rsidRDefault="00675003" w:rsidP="00732AD1">
      <w:pPr>
        <w:spacing w:after="0"/>
        <w:jc w:val="both"/>
      </w:pPr>
      <w:r>
        <w:t>1.Τ</w:t>
      </w:r>
      <w:r w:rsidR="00944A46">
        <w:t>ις διατάξεις:</w:t>
      </w:r>
    </w:p>
    <w:p w:rsidR="00944A46" w:rsidRDefault="00944A46" w:rsidP="00732AD1">
      <w:pPr>
        <w:spacing w:after="0"/>
        <w:jc w:val="both"/>
      </w:pPr>
      <w:r>
        <w:t>α. Του άρθρου 21 του Ν 2362/95 «Περί Δημοσίου Λογιστικού, ελέγχου των δαπανών του κράτους και άλλες διατάξεις», όπως ισχύει.</w:t>
      </w:r>
    </w:p>
    <w:p w:rsidR="00944A46" w:rsidRDefault="00944A46" w:rsidP="00732AD1">
      <w:pPr>
        <w:spacing w:after="0"/>
        <w:jc w:val="both"/>
      </w:pPr>
      <w:r>
        <w:t xml:space="preserve">β. Την </w:t>
      </w:r>
      <w:proofErr w:type="spellStart"/>
      <w:r>
        <w:t>περιπτ</w:t>
      </w:r>
      <w:proofErr w:type="spellEnd"/>
      <w:r>
        <w:t xml:space="preserve">. δ του άρθρου 72 του ν. 3852/10  </w:t>
      </w:r>
    </w:p>
    <w:p w:rsidR="00944A46" w:rsidRDefault="00944A46" w:rsidP="00732AD1">
      <w:pPr>
        <w:spacing w:after="0"/>
        <w:jc w:val="both"/>
      </w:pPr>
      <w:r>
        <w:t xml:space="preserve">γ. Του ΠΔ 113/2010 «Ανάληψη υποχρεώσεων από τους </w:t>
      </w:r>
      <w:proofErr w:type="spellStart"/>
      <w:r>
        <w:t>Διατάκτες</w:t>
      </w:r>
      <w:proofErr w:type="spellEnd"/>
      <w:r>
        <w:t xml:space="preserve">» (ΦΕΚ 194/Α) όπως ισχύει, και ιδίως το άρθρο 4 </w:t>
      </w:r>
    </w:p>
    <w:p w:rsidR="00675003" w:rsidRDefault="00675003" w:rsidP="00732AD1">
      <w:pPr>
        <w:spacing w:after="0"/>
        <w:jc w:val="both"/>
      </w:pPr>
      <w:proofErr w:type="spellStart"/>
      <w:r>
        <w:t>δ.Την</w:t>
      </w:r>
      <w:proofErr w:type="spellEnd"/>
      <w:r>
        <w:t xml:space="preserve"> παρ.3 του άρθρου 158 του ΔΚΚ(Ν.3463/2010)</w:t>
      </w:r>
    </w:p>
    <w:p w:rsidR="00675003" w:rsidRDefault="00675003" w:rsidP="00732AD1">
      <w:pPr>
        <w:spacing w:after="0"/>
        <w:jc w:val="both"/>
      </w:pPr>
      <w:proofErr w:type="spellStart"/>
      <w:r>
        <w:t>ε.Τις</w:t>
      </w:r>
      <w:proofErr w:type="spellEnd"/>
      <w:r>
        <w:t xml:space="preserve"> εγκυκλίους Υπ.Οικ.2/91118/0026/29.12.2010, </w:t>
      </w:r>
      <w:proofErr w:type="spellStart"/>
      <w:r>
        <w:t>Υπ.Οικ</w:t>
      </w:r>
      <w:proofErr w:type="spellEnd"/>
      <w:r>
        <w:t>. &amp; Εσωτ.εγκ.30/2011 και Υπ.Οικ.2/96117/0026/20.12.2011, 2/112634/0026/17.12.2013</w:t>
      </w:r>
    </w:p>
    <w:p w:rsidR="00F64AB3" w:rsidRDefault="00675003" w:rsidP="00732AD1">
      <w:pPr>
        <w:spacing w:after="0"/>
        <w:jc w:val="both"/>
      </w:pPr>
      <w:r>
        <w:t>2.Τις αποφάσεις δέσμευσης πίστωσης του Δημοτικού Συμβουλίου για τις οποίες</w:t>
      </w:r>
      <w:r w:rsidR="00F64AB3">
        <w:t xml:space="preserve"> </w:t>
      </w:r>
      <w:r>
        <w:t xml:space="preserve"> </w:t>
      </w:r>
      <w:r w:rsidR="00F64AB3">
        <w:t>προκύπτει αδιάθετο υπόλοιπο μετά την υπογραφή των συμβάσεων ανάθεσης.</w:t>
      </w:r>
    </w:p>
    <w:p w:rsidR="0002564C" w:rsidRPr="00D53032" w:rsidRDefault="0002564C" w:rsidP="00732AD1">
      <w:pPr>
        <w:spacing w:after="0"/>
        <w:jc w:val="both"/>
      </w:pPr>
    </w:p>
    <w:p w:rsidR="006D026E" w:rsidRDefault="00944A46" w:rsidP="00732AD1">
      <w:pPr>
        <w:spacing w:after="0"/>
        <w:jc w:val="both"/>
      </w:pPr>
      <w:r>
        <w:t>Παρακαλώ να εγκρίνετ</w:t>
      </w:r>
      <w:r w:rsidR="00E0484B">
        <w:t>ε</w:t>
      </w:r>
    </w:p>
    <w:p w:rsidR="00944A46" w:rsidRDefault="006D026E" w:rsidP="00732AD1">
      <w:pPr>
        <w:spacing w:after="0"/>
        <w:jc w:val="both"/>
      </w:pPr>
      <w:r>
        <w:lastRenderedPageBreak/>
        <w:t xml:space="preserve">Ι) </w:t>
      </w:r>
      <w:r w:rsidR="00944A46">
        <w:t xml:space="preserve"> την </w:t>
      </w:r>
      <w:r>
        <w:t xml:space="preserve">αποδέσμευση </w:t>
      </w:r>
      <w:r w:rsidR="00944A46">
        <w:t xml:space="preserve">των </w:t>
      </w:r>
      <w:r>
        <w:t>πιστώσεων του προϋπολογισμού του Δήμου οικονομικού έτους 201</w:t>
      </w:r>
      <w:r w:rsidR="0002564C">
        <w:t>4</w:t>
      </w:r>
      <w:r w:rsidR="00944A46">
        <w:t xml:space="preserve">, για τις οποίες έχει </w:t>
      </w:r>
      <w:r w:rsidR="00F80473">
        <w:t xml:space="preserve">αναληφθεί </w:t>
      </w:r>
      <w:r w:rsidR="00991338">
        <w:t xml:space="preserve">υποχρέωση </w:t>
      </w:r>
      <w:r w:rsidR="00944A46">
        <w:t xml:space="preserve"> </w:t>
      </w:r>
      <w:r w:rsidR="00991338">
        <w:t>και δεν πρόκειται να δαπανηθ</w:t>
      </w:r>
      <w:r w:rsidR="0002564C">
        <w:t>ούν</w:t>
      </w:r>
      <w:r w:rsidR="00991338">
        <w:t xml:space="preserve"> </w:t>
      </w:r>
      <w:r w:rsidR="00944A46">
        <w:t>μέσα στο οικονομικό έτος 201</w:t>
      </w:r>
      <w:r w:rsidR="0002564C">
        <w:t>4</w:t>
      </w:r>
      <w:r w:rsidR="003E2173">
        <w:t>,</w:t>
      </w:r>
      <w:r>
        <w:t xml:space="preserve"> ως ακολούθως</w:t>
      </w:r>
      <w:r w:rsidR="00732AD1">
        <w:t xml:space="preserve"> :</w:t>
      </w:r>
    </w:p>
    <w:p w:rsidR="00931F28" w:rsidRDefault="00931F28" w:rsidP="00732AD1">
      <w:pPr>
        <w:spacing w:after="0"/>
        <w:jc w:val="both"/>
      </w:pPr>
    </w:p>
    <w:tbl>
      <w:tblPr>
        <w:tblW w:w="8505" w:type="dxa"/>
        <w:tblInd w:w="93" w:type="dxa"/>
        <w:tblLook w:val="04A0"/>
      </w:tblPr>
      <w:tblGrid>
        <w:gridCol w:w="1220"/>
        <w:gridCol w:w="1991"/>
        <w:gridCol w:w="1480"/>
        <w:gridCol w:w="1200"/>
        <w:gridCol w:w="1243"/>
        <w:gridCol w:w="1371"/>
      </w:tblGrid>
      <w:tr w:rsidR="00DA4058" w:rsidRPr="00DA4058" w:rsidTr="004F71D1">
        <w:trPr>
          <w:trHeight w:val="270"/>
        </w:trPr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t>ΚΑΕ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t>Κατονομασία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br/>
              <w:t>Διαμόρφωση Π/Υ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t>Δεσμεύσεις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t>Πρόταση Ανάληψης Υποχρέωσης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058" w:rsidRPr="00DA4058" w:rsidRDefault="00DA4058" w:rsidP="00DA40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el-GR"/>
              </w:rPr>
              <w:t>Ποσό προς αποδέσμευση</w:t>
            </w:r>
          </w:p>
        </w:tc>
      </w:tr>
      <w:tr w:rsidR="00DA4058" w:rsidRPr="00DA4058" w:rsidTr="004F71D1">
        <w:trPr>
          <w:trHeight w:val="300"/>
        </w:trPr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DA4058" w:rsidRPr="00DA4058" w:rsidTr="004F71D1">
        <w:trPr>
          <w:trHeight w:val="240"/>
        </w:trPr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58" w:rsidRPr="00DA4058" w:rsidRDefault="00DA4058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4F71D1" w:rsidRPr="00DA4058" w:rsidTr="004F71D1">
        <w:trPr>
          <w:trHeight w:val="48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350,00</w:t>
            </w:r>
          </w:p>
        </w:tc>
      </w:tr>
      <w:tr w:rsidR="004F71D1" w:rsidRPr="00DA4058" w:rsidTr="004F71D1">
        <w:trPr>
          <w:trHeight w:val="48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391,50</w:t>
            </w:r>
          </w:p>
        </w:tc>
      </w:tr>
      <w:tr w:rsidR="004F71D1" w:rsidRPr="00DA4058" w:rsidTr="004F71D1">
        <w:trPr>
          <w:trHeight w:val="7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1.661,54</w:t>
            </w:r>
          </w:p>
        </w:tc>
      </w:tr>
      <w:tr w:rsidR="004F71D1" w:rsidRPr="00DA4058" w:rsidTr="004F71D1">
        <w:trPr>
          <w:trHeight w:val="48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5.420,00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155,60</w:t>
            </w:r>
          </w:p>
        </w:tc>
      </w:tr>
      <w:tr w:rsidR="004F71D1" w:rsidRPr="00DA4058" w:rsidTr="004F71D1">
        <w:trPr>
          <w:trHeight w:val="48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0,73</w:t>
            </w:r>
          </w:p>
        </w:tc>
      </w:tr>
      <w:tr w:rsidR="004F71D1" w:rsidRPr="00DA4058" w:rsidTr="004F71D1">
        <w:trPr>
          <w:trHeight w:val="7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46,50</w:t>
            </w:r>
          </w:p>
        </w:tc>
      </w:tr>
      <w:tr w:rsidR="004F71D1" w:rsidRPr="00DA4058" w:rsidTr="004F71D1">
        <w:trPr>
          <w:trHeight w:val="24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825,50</w:t>
            </w:r>
          </w:p>
        </w:tc>
      </w:tr>
      <w:tr w:rsidR="004F71D1" w:rsidRPr="00DA4058" w:rsidTr="004F71D1">
        <w:trPr>
          <w:trHeight w:val="48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00.6443.01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Επιδείξεις, δεξιώσεις, εορτές &amp; λοιπά θεάματα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492,58</w:t>
            </w:r>
          </w:p>
        </w:tc>
      </w:tr>
      <w:tr w:rsidR="004F71D1" w:rsidRPr="00DA4058" w:rsidTr="004F71D1">
        <w:trPr>
          <w:trHeight w:val="7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15.6471.04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Διοργάνωση Ετήσιου Μαθητικού Φεστιβάλ Πολιτισμού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10.811,70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2.011,05</w:t>
            </w:r>
          </w:p>
        </w:tc>
      </w:tr>
      <w:tr w:rsidR="004F71D1" w:rsidRPr="00DA4058" w:rsidTr="004F71D1">
        <w:trPr>
          <w:trHeight w:val="1151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15.6473.14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Default="004F71D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Μεταφόρες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Μετακινήσεις διαφόρων κοινωνικών ομάδων σύμφωνα με τις ανάγκες των δράσεων της κοινωνικής υπηρεσίας - ΑΜΕΑ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14.195,44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567,64</w:t>
            </w:r>
          </w:p>
        </w:tc>
      </w:tr>
      <w:tr w:rsidR="004F71D1" w:rsidRPr="00DA4058" w:rsidTr="004F71D1">
        <w:trPr>
          <w:trHeight w:val="378"/>
        </w:trPr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1D1" w:rsidRPr="00DA4058" w:rsidRDefault="004F71D1" w:rsidP="00DA40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Σύνολα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Pr="00DA4058" w:rsidRDefault="004F71D1" w:rsidP="00DA40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Pr="00DA4058" w:rsidRDefault="004F71D1" w:rsidP="00DA40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Pr="00DA4058" w:rsidRDefault="004F71D1" w:rsidP="00DA4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405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1D1" w:rsidRDefault="004F71D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6.502,64</w:t>
            </w:r>
          </w:p>
        </w:tc>
      </w:tr>
    </w:tbl>
    <w:p w:rsidR="00732AD1" w:rsidRDefault="00732AD1" w:rsidP="00DA4058">
      <w:pPr>
        <w:spacing w:after="0"/>
        <w:ind w:left="-567" w:firstLine="567"/>
        <w:jc w:val="both"/>
      </w:pPr>
    </w:p>
    <w:p w:rsidR="00732AD1" w:rsidRDefault="00732AD1" w:rsidP="002508B1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1715"/>
        <w:gridCol w:w="1502"/>
        <w:gridCol w:w="2407"/>
        <w:gridCol w:w="2092"/>
      </w:tblGrid>
      <w:tr w:rsidR="00A856DC" w:rsidTr="00DA4058">
        <w:trPr>
          <w:trHeight w:val="255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DC" w:rsidRPr="00A856DC" w:rsidRDefault="00A856DC" w:rsidP="006622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856DC">
              <w:rPr>
                <w:rFonts w:ascii="Calibri" w:hAnsi="Calibri" w:cs="Calibri"/>
                <w:color w:val="000000"/>
                <w:sz w:val="18"/>
                <w:szCs w:val="18"/>
              </w:rPr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DC" w:rsidRPr="00A856DC" w:rsidRDefault="00A856DC" w:rsidP="006622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856DC">
              <w:rPr>
                <w:rFonts w:ascii="Calibri" w:hAnsi="Calibri" w:cs="Calibri"/>
                <w:color w:val="000000"/>
                <w:sz w:val="18"/>
                <w:szCs w:val="18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DC" w:rsidRPr="00A856DC" w:rsidRDefault="00A856DC" w:rsidP="006622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856DC">
              <w:rPr>
                <w:rFonts w:ascii="Calibri" w:hAnsi="Calibri" w:cs="Calibri"/>
                <w:color w:val="000000"/>
                <w:sz w:val="18"/>
                <w:szCs w:val="18"/>
              </w:rPr>
              <w:t>ΔΙΕΥΘΥΝΤΗΣ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DC" w:rsidRPr="00A856DC" w:rsidRDefault="00A856DC" w:rsidP="006622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856DC">
              <w:rPr>
                <w:rFonts w:ascii="Calibri" w:hAnsi="Calibri" w:cs="Calibri"/>
                <w:color w:val="000000"/>
                <w:sz w:val="18"/>
                <w:szCs w:val="18"/>
              </w:rPr>
              <w:t>ΑΝΤΙΔΗΜΑΡΧΟΣ ΟΙΚΟΝΟΜΙΚΩΝ ΥΠΗΡΕΣΙΩΝ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56DC" w:rsidRPr="00A856DC" w:rsidRDefault="00A856DC" w:rsidP="006622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856DC">
              <w:rPr>
                <w:rFonts w:ascii="Calibri" w:hAnsi="Calibri" w:cs="Calibri"/>
                <w:color w:val="000000"/>
                <w:sz w:val="18"/>
                <w:szCs w:val="18"/>
              </w:rPr>
              <w:t>ΓΕΝΙΚΗ ΓΡΑΜΜΑΤΕΑΣ</w:t>
            </w:r>
          </w:p>
        </w:tc>
      </w:tr>
      <w:tr w:rsidR="00A856DC" w:rsidTr="00DA4058">
        <w:trPr>
          <w:trHeight w:val="232"/>
        </w:trPr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56DC" w:rsidRDefault="00A856DC" w:rsidP="0066229F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  <w:p w:rsidR="0066229F" w:rsidRPr="00A856DC" w:rsidRDefault="0066229F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856DC" w:rsidRPr="00A856DC" w:rsidRDefault="00A856DC" w:rsidP="000C3289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856DC" w:rsidTr="00DA4058">
        <w:trPr>
          <w:trHeight w:val="80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DC" w:rsidRPr="00A856DC" w:rsidRDefault="00A856DC" w:rsidP="0066229F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DC" w:rsidRPr="00A856DC" w:rsidRDefault="00A856DC" w:rsidP="0066229F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DC" w:rsidRPr="00A856DC" w:rsidRDefault="00A856DC" w:rsidP="0066229F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DC" w:rsidRPr="00A856DC" w:rsidRDefault="00A856DC" w:rsidP="0066229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856DC">
              <w:rPr>
                <w:rFonts w:ascii="Calibri" w:hAnsi="Calibri" w:cs="Calibri"/>
                <w:sz w:val="18"/>
                <w:szCs w:val="18"/>
              </w:rPr>
              <w:t>ΤΙΜΟΛΕΩΝ Α. ΚΩΣΤΟΠΟΥΛΟΣ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56DC" w:rsidRPr="00A856DC" w:rsidRDefault="00A856DC" w:rsidP="0066229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56DC" w:rsidTr="00DA405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A856DC" w:rsidRDefault="00A856DC" w:rsidP="0066229F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A856DC" w:rsidRDefault="00A856DC" w:rsidP="000C328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A856DC" w:rsidRDefault="00A856DC" w:rsidP="000C3289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A856DC" w:rsidRDefault="00A856DC" w:rsidP="000C3289">
            <w:pPr>
              <w:rPr>
                <w:rFonts w:ascii="Calibri" w:hAnsi="Calibri" w:cs="Calibri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A856DC" w:rsidRDefault="00A856DC" w:rsidP="000C3289">
            <w:pPr>
              <w:rPr>
                <w:rFonts w:eastAsiaTheme="minorEastAsia"/>
              </w:rPr>
            </w:pPr>
          </w:p>
        </w:tc>
      </w:tr>
      <w:tr w:rsidR="00A856DC" w:rsidRPr="00A856DC" w:rsidTr="00DA405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4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6DC" w:rsidRPr="00A856DC" w:rsidRDefault="00A856DC" w:rsidP="000C32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856DC">
              <w:rPr>
                <w:rFonts w:ascii="Calibri" w:hAnsi="Calibri" w:cs="Calibri"/>
                <w:sz w:val="18"/>
                <w:szCs w:val="18"/>
              </w:rPr>
              <w:t>Ο ΔΗΜΑΡΧΟΣ</w:t>
            </w:r>
          </w:p>
        </w:tc>
      </w:tr>
      <w:tr w:rsidR="00A856DC" w:rsidRPr="00A856DC" w:rsidTr="00DA405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A856DC" w:rsidRPr="00A856DC" w:rsidRDefault="00A856DC" w:rsidP="000C328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4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6DC" w:rsidRPr="00A856DC" w:rsidRDefault="00A856DC" w:rsidP="000C32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856DC">
              <w:rPr>
                <w:rFonts w:ascii="Calibri" w:hAnsi="Calibri" w:cs="Calibri"/>
                <w:sz w:val="18"/>
                <w:szCs w:val="18"/>
              </w:rPr>
              <w:t>ΒΑΣΙΛΕΙΟΣ Σ. ΖΟΡΜΠΑΣ</w:t>
            </w:r>
          </w:p>
        </w:tc>
      </w:tr>
    </w:tbl>
    <w:p w:rsidR="00F95E86" w:rsidRPr="00A856DC" w:rsidRDefault="00F95E86" w:rsidP="00A856DC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2AD1" w:rsidRDefault="00732AD1" w:rsidP="00A856DC">
      <w:pPr>
        <w:spacing w:after="0" w:line="360" w:lineRule="auto"/>
        <w:jc w:val="both"/>
        <w:rPr>
          <w:rFonts w:ascii="Arial" w:hAnsi="Arial" w:cs="Arial"/>
        </w:rPr>
      </w:pPr>
    </w:p>
    <w:p w:rsidR="000579FA" w:rsidRPr="00C720BC" w:rsidRDefault="000579FA" w:rsidP="00B50BD0">
      <w:pPr>
        <w:rPr>
          <w:i/>
        </w:rPr>
      </w:pPr>
    </w:p>
    <w:sectPr w:rsidR="000579FA" w:rsidRPr="00C720BC" w:rsidSect="00736406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BD0"/>
    <w:rsid w:val="0002564C"/>
    <w:rsid w:val="00047383"/>
    <w:rsid w:val="000579FA"/>
    <w:rsid w:val="0006363B"/>
    <w:rsid w:val="00066EB0"/>
    <w:rsid w:val="000749AF"/>
    <w:rsid w:val="000B351F"/>
    <w:rsid w:val="00100912"/>
    <w:rsid w:val="0020783A"/>
    <w:rsid w:val="002508B1"/>
    <w:rsid w:val="00251E6A"/>
    <w:rsid w:val="002C2046"/>
    <w:rsid w:val="002D2A8F"/>
    <w:rsid w:val="003038E2"/>
    <w:rsid w:val="003436C4"/>
    <w:rsid w:val="0034454D"/>
    <w:rsid w:val="003E2173"/>
    <w:rsid w:val="004F71D1"/>
    <w:rsid w:val="005A0866"/>
    <w:rsid w:val="005F1165"/>
    <w:rsid w:val="0066229F"/>
    <w:rsid w:val="00675003"/>
    <w:rsid w:val="006D026E"/>
    <w:rsid w:val="006D4219"/>
    <w:rsid w:val="006D6142"/>
    <w:rsid w:val="00732AD1"/>
    <w:rsid w:val="00736406"/>
    <w:rsid w:val="007B0DD2"/>
    <w:rsid w:val="00834F02"/>
    <w:rsid w:val="0087630B"/>
    <w:rsid w:val="008B2120"/>
    <w:rsid w:val="008D4CEF"/>
    <w:rsid w:val="00931F28"/>
    <w:rsid w:val="009378D1"/>
    <w:rsid w:val="00941986"/>
    <w:rsid w:val="00944A46"/>
    <w:rsid w:val="00991338"/>
    <w:rsid w:val="009E3C7D"/>
    <w:rsid w:val="00A3531A"/>
    <w:rsid w:val="00A41154"/>
    <w:rsid w:val="00A856DC"/>
    <w:rsid w:val="00AE7569"/>
    <w:rsid w:val="00B50BD0"/>
    <w:rsid w:val="00B90A98"/>
    <w:rsid w:val="00BC24EC"/>
    <w:rsid w:val="00C67E2B"/>
    <w:rsid w:val="00C720BC"/>
    <w:rsid w:val="00C96B61"/>
    <w:rsid w:val="00CA699D"/>
    <w:rsid w:val="00CD2908"/>
    <w:rsid w:val="00D009A6"/>
    <w:rsid w:val="00D53032"/>
    <w:rsid w:val="00D74E27"/>
    <w:rsid w:val="00DA4058"/>
    <w:rsid w:val="00E0484B"/>
    <w:rsid w:val="00E63133"/>
    <w:rsid w:val="00ED0D13"/>
    <w:rsid w:val="00F02819"/>
    <w:rsid w:val="00F262C4"/>
    <w:rsid w:val="00F60AE0"/>
    <w:rsid w:val="00F64AB3"/>
    <w:rsid w:val="00F80473"/>
    <w:rsid w:val="00F95E86"/>
    <w:rsid w:val="00FB6038"/>
    <w:rsid w:val="00FB6AAE"/>
    <w:rsid w:val="00FD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0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9B930-758B-4899-A2E6-595F5AB3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askou</dc:creator>
  <cp:lastModifiedBy>kmeg</cp:lastModifiedBy>
  <cp:revision>5</cp:revision>
  <cp:lastPrinted>2013-07-30T11:00:00Z</cp:lastPrinted>
  <dcterms:created xsi:type="dcterms:W3CDTF">2014-06-25T06:17:00Z</dcterms:created>
  <dcterms:modified xsi:type="dcterms:W3CDTF">2014-06-25T07:05:00Z</dcterms:modified>
</cp:coreProperties>
</file>