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8" w:rsidRPr="00A13526" w:rsidRDefault="00A13526" w:rsidP="00A13526">
      <w:pPr>
        <w:spacing w:after="0" w:line="240" w:lineRule="auto"/>
        <w:ind w:left="-851"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               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 w:rsidRPr="00A13526">
        <w:rPr>
          <w:rFonts w:ascii="Palatino Linotype" w:hAnsi="Palatino Linotype"/>
          <w:sz w:val="20"/>
          <w:szCs w:val="20"/>
        </w:rPr>
        <w:t>ΕΛΛΗΝΙΚΗ ΔΗΜΟΚΡΑΤΙΑ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 xml:space="preserve">                                                                            </w:t>
      </w:r>
      <w:r>
        <w:rPr>
          <w:rFonts w:ascii="Palatino Linotype" w:hAnsi="Palatino Linotype"/>
          <w:sz w:val="20"/>
          <w:szCs w:val="20"/>
        </w:rPr>
        <w:t xml:space="preserve">                </w:t>
      </w:r>
      <w:r w:rsidR="00D27AF8" w:rsidRPr="00A13526">
        <w:rPr>
          <w:rFonts w:ascii="Palatino Linotype" w:hAnsi="Palatino Linotype"/>
          <w:sz w:val="20"/>
          <w:szCs w:val="20"/>
        </w:rPr>
        <w:t xml:space="preserve"> 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 xml:space="preserve"> </w:t>
      </w:r>
    </w:p>
    <w:p w:rsidR="008C53D0" w:rsidRPr="004D7CDA" w:rsidRDefault="008C53D0" w:rsidP="008C53D0">
      <w:pPr>
        <w:spacing w:after="0" w:line="240" w:lineRule="auto"/>
        <w:ind w:left="-851" w:right="-766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</w:t>
      </w:r>
      <w:r w:rsidRPr="00A13526">
        <w:rPr>
          <w:rFonts w:ascii="Palatino Linotype" w:hAnsi="Palatino Linotype"/>
          <w:sz w:val="20"/>
          <w:szCs w:val="20"/>
        </w:rPr>
        <w:t>ΝΟΜΟΣ ΑΤΤΙΚΗΣ</w:t>
      </w:r>
      <w:r w:rsidR="00D27AF8" w:rsidRPr="00A13526">
        <w:rPr>
          <w:rFonts w:ascii="Palatino Linotype" w:hAnsi="Palatino Linotype"/>
          <w:sz w:val="20"/>
          <w:szCs w:val="20"/>
        </w:rPr>
        <w:t xml:space="preserve">                                               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A13526">
        <w:rPr>
          <w:rFonts w:ascii="Palatino Linotype" w:hAnsi="Palatino Linotype"/>
          <w:sz w:val="20"/>
          <w:szCs w:val="20"/>
        </w:rPr>
        <w:t xml:space="preserve">Αγία Παρασκευή :  </w:t>
      </w:r>
      <w:r w:rsidR="00C90179">
        <w:rPr>
          <w:rFonts w:ascii="Palatino Linotype" w:hAnsi="Palatino Linotype"/>
          <w:sz w:val="20"/>
          <w:szCs w:val="20"/>
        </w:rPr>
        <w:t>24</w:t>
      </w:r>
      <w:r w:rsidR="008152CF">
        <w:rPr>
          <w:rFonts w:ascii="Palatino Linotype" w:hAnsi="Palatino Linotype"/>
          <w:sz w:val="20"/>
          <w:szCs w:val="20"/>
        </w:rPr>
        <w:t>/3/14</w:t>
      </w:r>
    </w:p>
    <w:p w:rsidR="00D27AF8" w:rsidRPr="002C0F72" w:rsidRDefault="008C53D0" w:rsidP="008C53D0">
      <w:pPr>
        <w:spacing w:after="0" w:line="240" w:lineRule="auto"/>
        <w:ind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b/>
          <w:sz w:val="20"/>
          <w:szCs w:val="20"/>
          <w:u w:val="single"/>
        </w:rPr>
        <w:t>ΔΗΜΟΣ ΑΓΙΑΣ ΠΑΡΑΣΚΕΥΗΣ</w:t>
      </w:r>
      <w:r w:rsidRPr="00A13526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>Αριθ. Πρωτ.:</w:t>
      </w:r>
      <w:r w:rsidR="00F210E7" w:rsidRPr="00F210E7">
        <w:rPr>
          <w:rFonts w:ascii="Palatino Linotype" w:hAnsi="Palatino Linotype"/>
          <w:sz w:val="20"/>
          <w:szCs w:val="20"/>
        </w:rPr>
        <w:t xml:space="preserve"> 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ΔΙΕΥΘΥΝΣΗ  ΕΞΥΠΗΡΕΤΗΣΗΣ ΤΟΥ ΠΟΛΙΤΗ 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ΚΑΙ ΔΙΟΙΚΗΤΙΚΩΝ ΥΠΗΡΕΣΙΩΝ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ΤΜΗΜΑ ΔΙΟΙΚΗΣΗΣ,ΤΟΠΙΚΗΣ ΑΝΑΠΤΥΞΗΣ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&amp; ΑΝΘΡΩΠΙΝΟΥ ΔΥΝΑΜΙΚΟΥ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Δ/ΝΣΗ:ΜΕΣΟΓΕΙΩΝ  415-417</w:t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ΠΛΗΡ: κ. Σ.  Λεβάκος</w:t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  <w:t xml:space="preserve">              </w:t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ΤΗΛ:213-2004607</w:t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</w:p>
    <w:p w:rsidR="00D27AF8" w:rsidRPr="00A13526" w:rsidRDefault="00D27AF8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</w:p>
    <w:p w:rsidR="00794612" w:rsidRDefault="0059212C" w:rsidP="0059212C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:rsidR="0003543D" w:rsidRPr="00794612" w:rsidRDefault="00794612" w:rsidP="0003543D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  <w:u w:val="single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  <w:u w:val="single"/>
        </w:rPr>
        <w:t>ΠΡΟΣ:</w:t>
      </w:r>
    </w:p>
    <w:p w:rsidR="0003543D" w:rsidRPr="00794612" w:rsidRDefault="0003543D" w:rsidP="0003543D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</w:rPr>
        <w:t>ΠΡΟΕΔΡΟ ΔΗΜΟΤΙΚΟΥ ΣΥΜΒΟΥΛΙΟΥ</w:t>
      </w:r>
    </w:p>
    <w:p w:rsidR="0003543D" w:rsidRDefault="0003543D"/>
    <w:p w:rsidR="00A13526" w:rsidRPr="0059212C" w:rsidRDefault="0003543D" w:rsidP="0059212C">
      <w:pPr>
        <w:jc w:val="center"/>
        <w:rPr>
          <w:b/>
          <w:sz w:val="28"/>
          <w:szCs w:val="28"/>
        </w:rPr>
      </w:pPr>
      <w:r w:rsidRPr="00794612">
        <w:rPr>
          <w:b/>
          <w:sz w:val="28"/>
          <w:szCs w:val="28"/>
        </w:rPr>
        <w:t>Ε  Ι  Σ  Η  Γ  Η  Σ  Η</w:t>
      </w:r>
    </w:p>
    <w:p w:rsidR="00F01570" w:rsidRPr="005A1DC6" w:rsidRDefault="00A13526" w:rsidP="00F711BF">
      <w:pPr>
        <w:jc w:val="both"/>
        <w:rPr>
          <w:b/>
          <w:sz w:val="24"/>
          <w:szCs w:val="24"/>
        </w:rPr>
      </w:pPr>
      <w:r w:rsidRPr="00917011">
        <w:rPr>
          <w:b/>
          <w:sz w:val="24"/>
          <w:szCs w:val="24"/>
        </w:rPr>
        <w:t>ΘΕΜΑ</w:t>
      </w:r>
      <w:r w:rsidRPr="00917011">
        <w:rPr>
          <w:sz w:val="24"/>
          <w:szCs w:val="24"/>
        </w:rPr>
        <w:t>:</w:t>
      </w:r>
      <w:r w:rsidR="00F711BF">
        <w:rPr>
          <w:sz w:val="24"/>
          <w:szCs w:val="24"/>
        </w:rPr>
        <w:t xml:space="preserve"> </w:t>
      </w:r>
      <w:r w:rsidR="00794612" w:rsidRPr="00917011">
        <w:rPr>
          <w:b/>
          <w:sz w:val="24"/>
          <w:szCs w:val="24"/>
        </w:rPr>
        <w:t>«</w:t>
      </w:r>
      <w:r w:rsidR="00F711BF">
        <w:rPr>
          <w:b/>
          <w:sz w:val="24"/>
          <w:szCs w:val="24"/>
        </w:rPr>
        <w:t>Λήψη Απόφασης</w:t>
      </w:r>
      <w:r w:rsidR="005A1DC6" w:rsidRPr="005A1DC6">
        <w:rPr>
          <w:b/>
          <w:sz w:val="24"/>
          <w:szCs w:val="24"/>
        </w:rPr>
        <w:t xml:space="preserve"> </w:t>
      </w:r>
      <w:r w:rsidR="005A1DC6">
        <w:rPr>
          <w:b/>
          <w:sz w:val="24"/>
          <w:szCs w:val="24"/>
        </w:rPr>
        <w:t>για συνέχιση απασχόλησης των ΑΜΕΑ και</w:t>
      </w:r>
      <w:r w:rsidR="00F711BF">
        <w:rPr>
          <w:b/>
          <w:sz w:val="24"/>
          <w:szCs w:val="24"/>
        </w:rPr>
        <w:t xml:space="preserve"> μετατροπής σχέσεως εργασίας </w:t>
      </w:r>
      <w:r w:rsidR="008152CF">
        <w:rPr>
          <w:b/>
          <w:sz w:val="24"/>
          <w:szCs w:val="24"/>
        </w:rPr>
        <w:t>τους</w:t>
      </w:r>
      <w:r w:rsidR="00F711BF">
        <w:rPr>
          <w:b/>
          <w:sz w:val="24"/>
          <w:szCs w:val="24"/>
        </w:rPr>
        <w:t>, από 3+1 έτη Ιδιωτικού Δικαίου Ορισμένου Χρόνου σε Ιδιωτικού Δικαίου Αορίστου Χρόνου, σύμφωνα με το άρθρο 56 του ν.4186/2013 «Διεύρυνση προστασίας των ΑΜΕΑ».</w:t>
      </w:r>
    </w:p>
    <w:p w:rsidR="00E31F71" w:rsidRDefault="00E31F71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 τις διατάξεις του άρθρου 56 του Ν. 4186/13 (ΦΕΚ 193/2013 τ.Α) (Διεύρυνση προστασίας των ΑΜΕΑ) προστίθεται εδάφιο μετά το τέλος της παρ. 1, του άρθρου 11 του Ν.3227/2004 ως εξής: « Τα Ατομα με Αναπηρίες που έχουν απασχοληθεί μέσα στο τελευταίο έτος πριν τη δημοσιέυση του παρόντος σε επιχειρήσεις ή εκμεταλλεύσεις ή φορείς </w:t>
      </w:r>
      <w:r w:rsidRPr="00E31F71">
        <w:rPr>
          <w:b/>
          <w:sz w:val="24"/>
          <w:szCs w:val="24"/>
        </w:rPr>
        <w:t>της παρ. 8 του άρθρου 2 του ν. 2643/1998 (Α΄ 220)</w:t>
      </w:r>
      <w:r>
        <w:rPr>
          <w:sz w:val="24"/>
          <w:szCs w:val="24"/>
        </w:rPr>
        <w:t xml:space="preserve"> με οποιαδήποτε σχέση εργασίας ή δυνάμει αποφάσεων ασφαλιστικών μέτρων</w:t>
      </w:r>
      <w:r w:rsidR="006B6320">
        <w:rPr>
          <w:sz w:val="24"/>
          <w:szCs w:val="24"/>
        </w:rPr>
        <w:t xml:space="preserve"> ή</w:t>
      </w:r>
      <w:r>
        <w:rPr>
          <w:sz w:val="24"/>
          <w:szCs w:val="24"/>
        </w:rPr>
        <w:t xml:space="preserve"> με προσωρινές διαταγές, θεωρείται ως προς όλες τις συνέπειες, ότι τοποθετήθηκαν και συνεχίζουν να παρέχουν την εργασία τους δυνάμει του ν.2643/1998 εφόσον ο εργοδότης δηλώνει ότι επιθυμεί να συνεχίσει να τους απασχολεί</w:t>
      </w:r>
      <w:r w:rsidR="006B6320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E31F71" w:rsidRDefault="00E31F71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Συγκεκριμένα </w:t>
      </w:r>
      <w:r w:rsidRPr="00E31F71">
        <w:rPr>
          <w:b/>
          <w:sz w:val="24"/>
          <w:szCs w:val="24"/>
        </w:rPr>
        <w:t>η προαναφερόμενη παρ.8 του άρθρου 2 του ν.2643/1998 αναφέρει:</w:t>
      </w:r>
    </w:p>
    <w:p w:rsidR="00E31F71" w:rsidRDefault="00E31F71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>«Οι διατάξεις του νόμου αυτού εφαρμόζονται στους ακόλουθους φορείς του δημόσιου τομέα</w:t>
      </w:r>
    </w:p>
    <w:p w:rsidR="008A0542" w:rsidRDefault="00E31F71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>α) Στις δημόσιες επιχειρήσεις και στους δημόσιους οργανισμούς</w:t>
      </w:r>
    </w:p>
    <w:p w:rsidR="008A0542" w:rsidRDefault="008A0542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>β) Στα Νομικά Πρόσωπα Ιδιωτικού Δικαίου, που ανήκουν στο κράτος ή επιχορηγούνται τακτικώς, σύμφωνα με τις κείμενες διατάξεις, από κρατικούς πόρους κατά 50% τουλάχιστον του ετήσιου προϋπολογισμού τους ή στα οποία το κράτος κατέχει το 51% τουλάχιστον του μετοχικού τους κεφαλαίου.</w:t>
      </w:r>
    </w:p>
    <w:p w:rsidR="00A07FAE" w:rsidRDefault="008A0542" w:rsidP="00F711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γ) Στα Νομικά Πρόσωπα τα οποία είτε ανήκουν στα Νομικά Πρόσωπα που αναφέρονται στις προηγούμενες περιπτώσεις α και β ή στα Νομικά Πρόσωπα Δημοσίου Δικαίου ή </w:t>
      </w:r>
      <w:r w:rsidRPr="008A0542">
        <w:rPr>
          <w:b/>
          <w:sz w:val="24"/>
          <w:szCs w:val="24"/>
        </w:rPr>
        <w:t>στους οργανισμούς τοπικής αυτοδιοίκησης</w:t>
      </w:r>
      <w:r>
        <w:rPr>
          <w:sz w:val="24"/>
          <w:szCs w:val="24"/>
        </w:rPr>
        <w:t xml:space="preserve"> κάθε βαθμίδας ή στην Κ.Ε.Δ.Κ.Ε ή στις τοπικές ενώσεις δήμων και κοινοτήτων είτε επιχορηγούνται από τους φορείς αυτούς, τακτικώς κατά 50% τουλάχιστον του ετήσιου προϋπολογισμού τους, σύμφωνα με τις κείμενες διατάξεις ή τα οικεία καταστατικά είτε έχουν μετοχικό κεφάλαιο, το 51% τουλάχιστον του οποίου κατέχουν οι φορείς</w:t>
      </w:r>
      <w:r w:rsidR="000A0C9B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A0542" w:rsidRPr="008A0542" w:rsidRDefault="008A0542" w:rsidP="008A05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A0542">
        <w:rPr>
          <w:rFonts w:ascii="Calibri" w:hAnsi="Calibri" w:cs="Calibri"/>
          <w:sz w:val="24"/>
          <w:szCs w:val="24"/>
        </w:rPr>
        <w:t>Σύμφωνα με την αιτιολογική έκθεση του Ν.4186/13 κατά τον τρόπο αυτό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διαμορφώνεται μία κατεύθυνση για οιονεί αυτόματη μετατροπή των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συμβάσεων ορισμένου χρόνου ή των σχέσεων εργασίας που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 xml:space="preserve">παρασχέθηκε από τα ΑΜΕΑ στους φορείς ή εκμεταλλεύσεις </w:t>
      </w:r>
      <w:r w:rsidRPr="00A07FAE">
        <w:rPr>
          <w:rFonts w:ascii="Calibri" w:hAnsi="Calibri" w:cs="Calibri"/>
          <w:b/>
          <w:sz w:val="24"/>
          <w:szCs w:val="24"/>
        </w:rPr>
        <w:t>της παρ. 8</w:t>
      </w:r>
      <w:r w:rsidR="00A07FAE" w:rsidRPr="00A07FAE">
        <w:rPr>
          <w:rFonts w:ascii="Calibri" w:hAnsi="Calibri" w:cs="Calibri"/>
          <w:b/>
          <w:sz w:val="24"/>
          <w:szCs w:val="24"/>
        </w:rPr>
        <w:t xml:space="preserve"> </w:t>
      </w:r>
      <w:r w:rsidRPr="00A07FAE">
        <w:rPr>
          <w:rFonts w:ascii="Calibri" w:hAnsi="Calibri" w:cs="Calibri"/>
          <w:b/>
          <w:sz w:val="24"/>
          <w:szCs w:val="24"/>
        </w:rPr>
        <w:t>του άρθρου 2 του Ν. 2643/1998 σε αορίστου χρόνου</w:t>
      </w:r>
      <w:r w:rsidRPr="008A0542">
        <w:rPr>
          <w:rFonts w:ascii="Calibri" w:hAnsi="Calibri" w:cs="Calibri"/>
          <w:sz w:val="24"/>
          <w:szCs w:val="24"/>
        </w:rPr>
        <w:t>, και θεωρείται ως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προς όλες τις συνέπειες, ότι τα Άτομα με Αναπηρία τοποθετήθηκαν και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συνεχίζουν να απασχολούνται δυνάμει του ν. 2643/1998. Διευρύνεται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δηλαδή το εφαρμοστικό πεδίο και επεκτείνεται η προστασία του νόμου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αυτού και στη συνέχιση της απασχόλησης των ΑΜΕΑ μετά την λήξη της</w:t>
      </w:r>
    </w:p>
    <w:p w:rsidR="008A0542" w:rsidRDefault="008A0542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A0542">
        <w:rPr>
          <w:rFonts w:ascii="Calibri" w:hAnsi="Calibri" w:cs="Calibri"/>
          <w:sz w:val="24"/>
          <w:szCs w:val="24"/>
        </w:rPr>
        <w:t xml:space="preserve">σύμβασης ορισμένου χρόνου ή την καθ' οιονδήποτε τρόπο παύση </w:t>
      </w:r>
      <w:r w:rsidR="00A07FAE">
        <w:rPr>
          <w:rFonts w:ascii="Calibri" w:hAnsi="Calibri" w:cs="Calibri"/>
          <w:sz w:val="24"/>
          <w:szCs w:val="24"/>
        </w:rPr>
        <w:t xml:space="preserve">της </w:t>
      </w:r>
      <w:r w:rsidRPr="008A0542">
        <w:rPr>
          <w:rFonts w:ascii="Calibri" w:hAnsi="Calibri" w:cs="Calibri"/>
          <w:sz w:val="24"/>
          <w:szCs w:val="24"/>
        </w:rPr>
        <w:t>παρασχεθείσας εργασίας τους με ασφαλιστικά μέτρα ή με προσωρινές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διαταγές που χορήγησαν αρμόδια δικαστήρια. Με τη διάταξη αυτή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εξομοιώνονται τα άτομα αυτά με τα προσλαμβανόμενα εξαρχής βάσει των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διατάξεων του άνω νόμου.</w:t>
      </w:r>
      <w:r w:rsidR="00C90179" w:rsidRPr="00C90179">
        <w:rPr>
          <w:rFonts w:ascii="Calibri" w:hAnsi="Calibri" w:cs="Calibri"/>
          <w:sz w:val="24"/>
          <w:szCs w:val="24"/>
        </w:rPr>
        <w:t xml:space="preserve"> </w:t>
      </w:r>
      <w:r w:rsidRPr="00A07FAE">
        <w:rPr>
          <w:rFonts w:ascii="Calibri" w:hAnsi="Calibri" w:cs="Calibri"/>
          <w:b/>
          <w:sz w:val="24"/>
          <w:szCs w:val="24"/>
        </w:rPr>
        <w:t>Κατ' ακολουθίαν, δεν ισχύει για τις συμβάσεις</w:t>
      </w:r>
      <w:r w:rsidR="00A07FAE" w:rsidRPr="00A07FAE">
        <w:rPr>
          <w:rFonts w:ascii="Calibri" w:hAnsi="Calibri" w:cs="Calibri"/>
          <w:b/>
          <w:sz w:val="24"/>
          <w:szCs w:val="24"/>
        </w:rPr>
        <w:t xml:space="preserve"> </w:t>
      </w:r>
      <w:r w:rsidRPr="00A07FAE">
        <w:rPr>
          <w:rFonts w:ascii="Calibri" w:hAnsi="Calibri" w:cs="Calibri"/>
          <w:b/>
          <w:sz w:val="24"/>
          <w:szCs w:val="24"/>
        </w:rPr>
        <w:t>αυτές και η σχετική νομολογία που διαμορφώθηκε τα τελευταία χρόνια</w:t>
      </w:r>
      <w:r w:rsidR="00A07FAE" w:rsidRPr="00A07FAE">
        <w:rPr>
          <w:rFonts w:ascii="Calibri" w:hAnsi="Calibri" w:cs="Calibri"/>
          <w:b/>
          <w:sz w:val="24"/>
          <w:szCs w:val="24"/>
        </w:rPr>
        <w:t xml:space="preserve"> </w:t>
      </w:r>
      <w:r w:rsidRPr="00A07FAE">
        <w:rPr>
          <w:rFonts w:ascii="Calibri" w:hAnsi="Calibri" w:cs="Calibri"/>
          <w:b/>
          <w:sz w:val="24"/>
          <w:szCs w:val="24"/>
        </w:rPr>
        <w:t>που αφορά τις περιπτώσεις που απαγορεύεται ρητά η δυνατότητα</w:t>
      </w:r>
      <w:r w:rsidR="00A07FAE" w:rsidRPr="00A07FAE">
        <w:rPr>
          <w:rFonts w:ascii="Calibri" w:hAnsi="Calibri" w:cs="Calibri"/>
          <w:b/>
          <w:sz w:val="24"/>
          <w:szCs w:val="24"/>
        </w:rPr>
        <w:t xml:space="preserve"> </w:t>
      </w:r>
      <w:r w:rsidRPr="00A07FAE">
        <w:rPr>
          <w:rFonts w:ascii="Calibri" w:hAnsi="Calibri" w:cs="Calibri"/>
          <w:b/>
          <w:sz w:val="24"/>
          <w:szCs w:val="24"/>
        </w:rPr>
        <w:t>συνέχισης των συμβάσεων</w:t>
      </w:r>
      <w:r w:rsidRPr="008A0542">
        <w:rPr>
          <w:rFonts w:ascii="Calibri" w:hAnsi="Calibri" w:cs="Calibri"/>
          <w:sz w:val="24"/>
          <w:szCs w:val="24"/>
        </w:rPr>
        <w:t>, δηλαδή βάσει των άρθρων 103 παρ. 7 και 8</w:t>
      </w:r>
      <w:r w:rsidR="00C90179" w:rsidRPr="00C90179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του Συντάγματος και 21 του ν. 2190/1994 (ΟλΑΠ 19/2007, 20/2007,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 xml:space="preserve">7/2011), αφού το νομοθετικό καθεστώς που εδράζεται στην αρχή </w:t>
      </w:r>
      <w:r w:rsidR="00A07FAE">
        <w:rPr>
          <w:rFonts w:ascii="Calibri" w:hAnsi="Calibri" w:cs="Calibri"/>
          <w:sz w:val="24"/>
          <w:szCs w:val="24"/>
        </w:rPr>
        <w:t xml:space="preserve">της </w:t>
      </w:r>
      <w:r w:rsidRPr="008A0542">
        <w:rPr>
          <w:rFonts w:ascii="Calibri" w:hAnsi="Calibri" w:cs="Calibri"/>
          <w:sz w:val="24"/>
          <w:szCs w:val="24"/>
        </w:rPr>
        <w:t>ανάγκης ειδικής προστασίας των ΑΜΕΑ, δηλαδή το άρθρο 21 του Σ., και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ο ν. 2643/1998 είναι ειδικό έναντι των ως άνω διατάξεων, κατά τα</w:t>
      </w:r>
      <w:r w:rsidR="00A07FAE">
        <w:rPr>
          <w:rFonts w:ascii="Calibri" w:hAnsi="Calibri" w:cs="Calibri"/>
          <w:sz w:val="24"/>
          <w:szCs w:val="24"/>
        </w:rPr>
        <w:t xml:space="preserve"> </w:t>
      </w:r>
      <w:r w:rsidRPr="008A0542">
        <w:rPr>
          <w:rFonts w:ascii="Calibri" w:hAnsi="Calibri" w:cs="Calibri"/>
          <w:sz w:val="24"/>
          <w:szCs w:val="24"/>
        </w:rPr>
        <w:t>προαναφερθέντα.</w:t>
      </w:r>
    </w:p>
    <w:p w:rsidR="008576E8" w:rsidRDefault="008576E8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90179" w:rsidRDefault="008576E8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lastRenderedPageBreak/>
        <w:t>Η ανωτέρω νομοθετική ρύθμιση</w:t>
      </w:r>
      <w:r w:rsidR="00C90179">
        <w:rPr>
          <w:rFonts w:ascii="Calibri" w:hAnsi="Calibri" w:cs="Calibri"/>
          <w:sz w:val="24"/>
          <w:szCs w:val="24"/>
        </w:rPr>
        <w:t xml:space="preserve"> του Ν.4186/13,</w:t>
      </w:r>
      <w:r>
        <w:rPr>
          <w:rFonts w:ascii="Calibri" w:hAnsi="Calibri" w:cs="Calibri"/>
          <w:sz w:val="24"/>
          <w:szCs w:val="24"/>
        </w:rPr>
        <w:t xml:space="preserve"> έρχεται σε συνέχεια της πράξης </w:t>
      </w:r>
      <w:r w:rsidRPr="008576E8">
        <w:rPr>
          <w:rFonts w:ascii="Calibri" w:hAnsi="Calibri" w:cs="Calibri"/>
          <w:b/>
          <w:sz w:val="24"/>
          <w:szCs w:val="24"/>
          <w:u w:val="single"/>
        </w:rPr>
        <w:t>Ελ. Συν. Κλιμ. Τμ. Πράξη 207/2013</w:t>
      </w:r>
      <w:r>
        <w:rPr>
          <w:rFonts w:ascii="Calibri" w:hAnsi="Calibri" w:cs="Calibri"/>
          <w:sz w:val="24"/>
          <w:szCs w:val="24"/>
        </w:rPr>
        <w:t xml:space="preserve"> με την οποία κρίθηκε ότι σε θέσεις προγραμμάτων Ν.Θ.Ε. του ΟΑΕΔ </w:t>
      </w:r>
      <w:r>
        <w:rPr>
          <w:rFonts w:ascii="Calibri" w:hAnsi="Calibri" w:cs="Calibri"/>
          <w:b/>
          <w:sz w:val="24"/>
          <w:szCs w:val="24"/>
        </w:rPr>
        <w:t>είναι δυνατή</w:t>
      </w:r>
      <w:r>
        <w:rPr>
          <w:rFonts w:ascii="Calibri" w:hAnsi="Calibri" w:cs="Calibri"/>
          <w:sz w:val="24"/>
          <w:szCs w:val="24"/>
        </w:rPr>
        <w:t xml:space="preserve"> η πρόσληψη ατόμων με αναπηρία τουλάχιστον 50% </w:t>
      </w:r>
      <w:r>
        <w:rPr>
          <w:rFonts w:ascii="Calibri" w:hAnsi="Calibri" w:cs="Calibri"/>
          <w:b/>
          <w:sz w:val="24"/>
          <w:szCs w:val="24"/>
          <w:u w:val="single"/>
        </w:rPr>
        <w:t>καθ’ υπέρβαση του ποσοστού του 3% που προβλέπεται από το άρθρο 2 παρ.1 του ν.2643/1998,</w:t>
      </w:r>
      <w:r w:rsidRPr="008576E8">
        <w:rPr>
          <w:rFonts w:ascii="Calibri" w:hAnsi="Calibri" w:cs="Calibri"/>
          <w:b/>
          <w:sz w:val="24"/>
          <w:szCs w:val="24"/>
        </w:rPr>
        <w:t xml:space="preserve"> για την πρόσληψή τους</w:t>
      </w:r>
      <w:r w:rsidRPr="00E93315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δε </w:t>
      </w:r>
      <w:r w:rsidRPr="00E93315">
        <w:rPr>
          <w:rFonts w:ascii="Calibri" w:hAnsi="Calibri" w:cs="Calibri"/>
          <w:b/>
          <w:sz w:val="24"/>
          <w:szCs w:val="24"/>
          <w:u w:val="single"/>
        </w:rPr>
        <w:t>αρκεί</w:t>
      </w:r>
      <w:r w:rsidR="00E93315">
        <w:rPr>
          <w:rFonts w:ascii="Calibri" w:hAnsi="Calibri" w:cs="Calibri"/>
          <w:b/>
          <w:sz w:val="24"/>
          <w:szCs w:val="24"/>
          <w:u w:val="single"/>
        </w:rPr>
        <w:t xml:space="preserve"> να διαθέτουν απόφαση Πρωτοβάθμιας Υγειονομικής Επιτροπής,</w:t>
      </w:r>
      <w:r w:rsidR="00E93315">
        <w:rPr>
          <w:rFonts w:ascii="Calibri" w:hAnsi="Calibri" w:cs="Calibri"/>
          <w:b/>
          <w:sz w:val="24"/>
          <w:szCs w:val="24"/>
        </w:rPr>
        <w:t xml:space="preserve"> </w:t>
      </w:r>
      <w:r w:rsidR="00E93315">
        <w:rPr>
          <w:rFonts w:ascii="Calibri" w:hAnsi="Calibri" w:cs="Calibri"/>
          <w:sz w:val="24"/>
          <w:szCs w:val="24"/>
        </w:rPr>
        <w:t>με την οποία πιστοποιείται το ποσοστό αναπηρίας τους και δεν έχει λήξη η ισχύς της.</w:t>
      </w:r>
      <w:r w:rsidR="00E93315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:rsidR="00C90179" w:rsidRDefault="00C90179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u w:val="single"/>
        </w:rPr>
      </w:pP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 xml:space="preserve">Σύμφωνα με την </w:t>
      </w:r>
      <w:r w:rsidRPr="00C90179">
        <w:rPr>
          <w:rFonts w:cstheme="minorHAnsi"/>
          <w:b/>
          <w:bCs/>
          <w:color w:val="0000FF"/>
          <w:sz w:val="24"/>
          <w:szCs w:val="24"/>
        </w:rPr>
        <w:t>παρ 1 του άρθρου 11 του Ν. 3227/04</w:t>
      </w:r>
      <w:r w:rsidRPr="00C90179">
        <w:rPr>
          <w:rFonts w:cstheme="minorHAnsi"/>
          <w:color w:val="000000"/>
          <w:sz w:val="24"/>
          <w:szCs w:val="24"/>
        </w:rPr>
        <w:t>, «τα Άτομα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με Αναπηρίες που απασχολούνται κατά τη δημοσίευση του παρόντος και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 xml:space="preserve">εφεξής σε επιχειρήσεις ή εκμεταλλεύσεις ή φορείς της </w:t>
      </w:r>
      <w:r w:rsidRPr="00C90179">
        <w:rPr>
          <w:rFonts w:cstheme="minorHAnsi"/>
          <w:b/>
          <w:bCs/>
          <w:color w:val="0000FF"/>
          <w:sz w:val="24"/>
          <w:szCs w:val="24"/>
        </w:rPr>
        <w:t>παρ. 8 του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b/>
          <w:bCs/>
          <w:color w:val="0000FF"/>
          <w:sz w:val="24"/>
          <w:szCs w:val="24"/>
        </w:rPr>
        <w:t xml:space="preserve">άρθρου 2 του Ν. 2643/1998 </w:t>
      </w:r>
      <w:r w:rsidRPr="00C90179">
        <w:rPr>
          <w:rFonts w:cstheme="minorHAnsi"/>
          <w:color w:val="000000"/>
          <w:sz w:val="24"/>
          <w:szCs w:val="24"/>
        </w:rPr>
        <w:t>(Δηλαδή και τις επιχειρήσεις ΟΤΑ), κατ'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εφαρμογή του προγράμματος επιχορήγησης από τον Ο.Α.Ε.Δ. Νέων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 xml:space="preserve">Θέσεων Εργασίας Ατόμων με Αναπηρίες, τα οποία ο εργοδότης </w:t>
      </w:r>
      <w:r>
        <w:rPr>
          <w:rFonts w:cstheme="minorHAnsi"/>
          <w:color w:val="000000"/>
          <w:sz w:val="24"/>
          <w:szCs w:val="24"/>
        </w:rPr>
        <w:t xml:space="preserve">τους </w:t>
      </w:r>
      <w:r w:rsidRPr="00C90179">
        <w:rPr>
          <w:rFonts w:cstheme="minorHAnsi"/>
          <w:color w:val="000000"/>
          <w:sz w:val="24"/>
          <w:szCs w:val="24"/>
        </w:rPr>
        <w:t>επιθυμεί να συνεχίσει να απασχολεί και μετά την ολοκλήρωση του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προγράμματος, θεωρείται, ως προς όλες τις συνέπειες, ότι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 xml:space="preserve">τοποθετήθηκαν δυνάμει του </w:t>
      </w:r>
      <w:r w:rsidRPr="00C90179">
        <w:rPr>
          <w:rFonts w:cstheme="minorHAnsi"/>
          <w:b/>
          <w:bCs/>
          <w:color w:val="0000FF"/>
          <w:sz w:val="24"/>
          <w:szCs w:val="24"/>
        </w:rPr>
        <w:t xml:space="preserve">Ν. 2643/1998 </w:t>
      </w:r>
      <w:r w:rsidRPr="00C90179">
        <w:rPr>
          <w:rFonts w:cstheme="minorHAnsi"/>
          <w:color w:val="000000"/>
          <w:sz w:val="24"/>
          <w:szCs w:val="24"/>
        </w:rPr>
        <w:t>(ΦΕΚ 220 Α΄).»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 xml:space="preserve">Στην </w:t>
      </w:r>
      <w:r w:rsidRPr="00C90179">
        <w:rPr>
          <w:rFonts w:cstheme="minorHAnsi"/>
          <w:b/>
          <w:bCs/>
          <w:color w:val="0000FF"/>
          <w:sz w:val="24"/>
          <w:szCs w:val="24"/>
        </w:rPr>
        <w:t xml:space="preserve">αιτιολογική έκθεση του νόμου </w:t>
      </w:r>
      <w:r w:rsidRPr="00C90179">
        <w:rPr>
          <w:rFonts w:cstheme="minorHAnsi"/>
          <w:color w:val="000000"/>
          <w:sz w:val="24"/>
          <w:szCs w:val="24"/>
        </w:rPr>
        <w:t>ο νομοθέτης αναφέρει ότι με τη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ψήφιση της διάταξης αυτής προσλήψεις Ατόμων με Αναπηρίες μέσω του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Προγράμματος θέσεων εργασίας για Ατομα με Αναπηρίες, θα μπορούν να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θεωρούνται προσλήψεις του ν. 2643/1998 για όλες τις συνέπειες,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εφόσον τα Ατομα με Αναπηρίες διατηρήθηκαν στην επιχείρηση μετά τη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>λήξη του προγράμματος. Η διάταξη αυτή αφορά όσους υπηρετούν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σήμερα με βάση το επιχορηγούμενο πρόγραμμα και όσους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προσλαμβάνονται στο εξής. Με τον τρόπο αυτό δίδεται μια ουσιαστική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κατεύθυνση για διατήρηση των θέσεων εργασίας που δημιουργούνται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από τα επιδοτούμενα προγράμματα και διευκολύνονται οι εργοδότες ώστε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>να κρατούν στην επιχείρησή τους άτομα που δικαιούνται προστασίας και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γνωρίζουν ότι μπορούν να είναι παραγωγικά στην επιχείρησή τους.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 xml:space="preserve">Συνεπώς κατ΄ εφαρμογή των παραπάνω διατάξεων εφόσον το επιθυμεί ο οικείος ΟΤΑ μπορεί να συνεχίσει να απασχολεί </w:t>
      </w:r>
      <w:r>
        <w:rPr>
          <w:rFonts w:cstheme="minorHAnsi"/>
          <w:color w:val="000000"/>
          <w:sz w:val="24"/>
          <w:szCs w:val="24"/>
        </w:rPr>
        <w:t xml:space="preserve">τους </w:t>
      </w:r>
      <w:r w:rsidRPr="00C90179">
        <w:rPr>
          <w:rFonts w:cstheme="minorHAnsi"/>
          <w:color w:val="000000"/>
          <w:sz w:val="24"/>
          <w:szCs w:val="24"/>
        </w:rPr>
        <w:t>εργαζόμενους που προσλήφθηκαν μέσω προγράμματος του ΟΑΕΔ για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ΑΜΕΑ και μετά το τέλος του προγράμματος.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 xml:space="preserve">Τα ανωτέρω είναι σύμφωνα και με τις διατάξεις του </w:t>
      </w:r>
      <w:r w:rsidRPr="00C90179">
        <w:rPr>
          <w:rFonts w:cstheme="minorHAnsi"/>
          <w:b/>
          <w:bCs/>
          <w:color w:val="0000FF"/>
          <w:sz w:val="24"/>
          <w:szCs w:val="24"/>
        </w:rPr>
        <w:t>Συντάγματος, στο</w:t>
      </w:r>
      <w:r>
        <w:rPr>
          <w:rFonts w:cstheme="minorHAnsi"/>
          <w:b/>
          <w:bCs/>
          <w:color w:val="0000FF"/>
          <w:sz w:val="24"/>
          <w:szCs w:val="24"/>
        </w:rPr>
        <w:t xml:space="preserve"> </w:t>
      </w:r>
      <w:r w:rsidRPr="00C90179">
        <w:rPr>
          <w:rFonts w:cstheme="minorHAnsi"/>
          <w:b/>
          <w:bCs/>
          <w:color w:val="0000FF"/>
          <w:sz w:val="24"/>
          <w:szCs w:val="24"/>
        </w:rPr>
        <w:t xml:space="preserve">άρθρο 21 </w:t>
      </w:r>
      <w:r w:rsidRPr="00C90179">
        <w:rPr>
          <w:rFonts w:cstheme="minorHAnsi"/>
          <w:color w:val="000000"/>
          <w:sz w:val="24"/>
          <w:szCs w:val="24"/>
        </w:rPr>
        <w:t>του οποίου ορίζονται τα εξής: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« </w:t>
      </w:r>
      <w:r w:rsidRPr="00C90179">
        <w:rPr>
          <w:rFonts w:cstheme="minorHAnsi"/>
          <w:color w:val="000000"/>
          <w:sz w:val="24"/>
          <w:szCs w:val="24"/>
        </w:rPr>
        <w:t>1. Η οικογένεια ως θεμέλιο της συντήρησης και προαγωγής του Έθνους,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καθώς και ο γάμος, η μητρότητα και η παιδική ηλικία τελούν υπό την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προστασία του Κράτους.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0179">
        <w:rPr>
          <w:rFonts w:cstheme="minorHAnsi"/>
          <w:color w:val="000000"/>
          <w:sz w:val="24"/>
          <w:szCs w:val="24"/>
        </w:rPr>
        <w:t>2. Πολύτεκνες οικογένειες, ανάπηροι πολέμου και ειρηνικής περιόδου,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θύματα πολέμου, χήρες και ορφανά εκείνων που έπεσαν στον πόλεμο,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90179">
        <w:rPr>
          <w:rFonts w:cstheme="minorHAnsi"/>
          <w:color w:val="000000"/>
          <w:sz w:val="24"/>
          <w:szCs w:val="24"/>
        </w:rPr>
        <w:t>καθώς και όσοι πάσχουν από ανίατη σωματική ή πνευματική νόσο έχουν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δικαίωμα ειδικής φροντίδας από το Κράτος.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0179">
        <w:rPr>
          <w:rFonts w:cstheme="minorHAnsi"/>
          <w:sz w:val="24"/>
          <w:szCs w:val="24"/>
        </w:rPr>
        <w:t>3. Το Κράτος μεριμνά για την υγεία των πολιτών και παίρνει ειδικά μέτρα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για την προστασία της νεότητας, του γήρατος, της αναπηρίας και για την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περίθαλψη των απόρων.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0179">
        <w:rPr>
          <w:rFonts w:cstheme="minorHAnsi"/>
          <w:sz w:val="24"/>
          <w:szCs w:val="24"/>
        </w:rPr>
        <w:t>4. Η απόκτηση κατοικίας από αυτούς που τη στερούνται ή που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στεγάζονται ανεπαρκώς αποτελεί αντικείμενο ειδικής φροντίδας του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Κράτους.</w:t>
      </w:r>
    </w:p>
    <w:p w:rsidR="00C90179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0179">
        <w:rPr>
          <w:rFonts w:cstheme="minorHAnsi"/>
          <w:sz w:val="24"/>
          <w:szCs w:val="24"/>
        </w:rPr>
        <w:t>5. Ο σχεδιασμός και η εφαρμογή δημογραφικής πολιτικής, καθώς και η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λήψη όλων των αναγκαίων μέτρων αποτελεί υποχρέωση του Κράτους.</w:t>
      </w:r>
    </w:p>
    <w:p w:rsidR="008576E8" w:rsidRPr="00C90179" w:rsidRDefault="00C90179" w:rsidP="00C9017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0179">
        <w:rPr>
          <w:rFonts w:cstheme="minorHAnsi"/>
          <w:sz w:val="24"/>
          <w:szCs w:val="24"/>
        </w:rPr>
        <w:t>6. Τα άτομα με αναπηρίες έχουν δικαίωμα να απολαμβάνουν μέτρων που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>εξασφαλίζουν την αυτονομία, την επαγγελματική ένταξη και τη</w:t>
      </w:r>
      <w:r>
        <w:rPr>
          <w:rFonts w:cstheme="minorHAnsi"/>
          <w:sz w:val="24"/>
          <w:szCs w:val="24"/>
        </w:rPr>
        <w:t xml:space="preserve"> </w:t>
      </w:r>
      <w:r w:rsidRPr="00C90179">
        <w:rPr>
          <w:rFonts w:cstheme="minorHAnsi"/>
          <w:sz w:val="24"/>
          <w:szCs w:val="24"/>
        </w:rPr>
        <w:t xml:space="preserve">συμμετοχή τους στην κοινωνική, οικονομική και πολιτική ζωή </w:t>
      </w:r>
      <w:r>
        <w:rPr>
          <w:rFonts w:cstheme="minorHAnsi"/>
          <w:sz w:val="24"/>
          <w:szCs w:val="24"/>
        </w:rPr>
        <w:t xml:space="preserve">της </w:t>
      </w:r>
      <w:r w:rsidRPr="00C90179">
        <w:rPr>
          <w:rFonts w:cstheme="minorHAnsi"/>
          <w:sz w:val="24"/>
          <w:szCs w:val="24"/>
        </w:rPr>
        <w:t>Χώρας».</w:t>
      </w:r>
    </w:p>
    <w:p w:rsidR="0074182D" w:rsidRPr="008576E8" w:rsidRDefault="0074182D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4182D" w:rsidRDefault="0074182D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Στο Δήμο μας υπηρετούν </w:t>
      </w:r>
      <w:r w:rsidR="00716D70">
        <w:rPr>
          <w:rFonts w:ascii="Calibri" w:hAnsi="Calibri" w:cs="Calibri"/>
          <w:sz w:val="24"/>
          <w:szCs w:val="24"/>
        </w:rPr>
        <w:t xml:space="preserve">κατόπιν Ασφαλιστικών Μέτρων </w:t>
      </w:r>
      <w:r>
        <w:rPr>
          <w:rFonts w:ascii="Calibri" w:hAnsi="Calibri" w:cs="Calibri"/>
          <w:sz w:val="24"/>
          <w:szCs w:val="24"/>
        </w:rPr>
        <w:t>δυο (2) εργαζόμενοι ΑΜΕΑ, με πρόγραμμα ΝΘΕ (3+1) χρόνια, οι:</w:t>
      </w:r>
    </w:p>
    <w:p w:rsidR="0074182D" w:rsidRDefault="0074182D" w:rsidP="00A07F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D70" w:rsidRPr="00716D70" w:rsidRDefault="0074182D" w:rsidP="0074182D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716D70">
        <w:rPr>
          <w:rFonts w:ascii="Calibri" w:hAnsi="Calibri" w:cs="Calibri"/>
          <w:b/>
          <w:sz w:val="24"/>
          <w:szCs w:val="24"/>
        </w:rPr>
        <w:t>Παναγιωτοπούλου Αικατερίνη</w:t>
      </w:r>
      <w:r w:rsidR="008576E8" w:rsidRPr="00716D70">
        <w:rPr>
          <w:rFonts w:ascii="Calibri" w:hAnsi="Calibri" w:cs="Calibri"/>
          <w:sz w:val="24"/>
          <w:szCs w:val="24"/>
        </w:rPr>
        <w:t xml:space="preserve">, </w:t>
      </w:r>
      <w:r w:rsidR="00716D70">
        <w:rPr>
          <w:rFonts w:ascii="Calibri" w:hAnsi="Calibri" w:cs="Calibri"/>
          <w:sz w:val="24"/>
          <w:szCs w:val="24"/>
        </w:rPr>
        <w:t>ειδικότητας ΤΕ Υπαλλήλου Γραφείου</w:t>
      </w:r>
    </w:p>
    <w:p w:rsidR="008576E8" w:rsidRPr="00716D70" w:rsidRDefault="008576E8" w:rsidP="008576E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16D70">
        <w:rPr>
          <w:rFonts w:ascii="Calibri" w:hAnsi="Calibri" w:cs="Calibri"/>
          <w:b/>
          <w:sz w:val="24"/>
          <w:szCs w:val="24"/>
        </w:rPr>
        <w:t>Λιακόπουλος Πολυζώης</w:t>
      </w:r>
      <w:r w:rsidRPr="00716D70">
        <w:rPr>
          <w:rFonts w:ascii="Calibri" w:hAnsi="Calibri" w:cs="Calibri"/>
          <w:sz w:val="24"/>
          <w:szCs w:val="24"/>
        </w:rPr>
        <w:t xml:space="preserve">, </w:t>
      </w:r>
      <w:r w:rsidR="00716D70">
        <w:rPr>
          <w:rFonts w:ascii="Calibri" w:hAnsi="Calibri" w:cs="Calibri"/>
          <w:sz w:val="24"/>
          <w:szCs w:val="24"/>
        </w:rPr>
        <w:t>ειδικότητας ΥΕ Ανειδίκευτου Υπαλλήλου</w:t>
      </w:r>
    </w:p>
    <w:p w:rsidR="00716D70" w:rsidRDefault="00716D70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8576E8" w:rsidRDefault="008576E8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Οι ανωτέρω έχουν αιτηθεί </w:t>
      </w:r>
      <w:r w:rsidR="00E93315">
        <w:rPr>
          <w:rFonts w:ascii="Calibri" w:hAnsi="Calibri" w:cs="Calibri"/>
          <w:sz w:val="24"/>
          <w:szCs w:val="24"/>
        </w:rPr>
        <w:t>τη μετατροπή των συμβάσεων τους από Ιδιωτικού Δικαίου Ορισμένου Χρόνου σε Ιδιωτικού Δικαίου Αορίστου Χρόνου.</w:t>
      </w:r>
    </w:p>
    <w:p w:rsidR="00E93315" w:rsidRDefault="00E93315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93315" w:rsidRDefault="00E93315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Κατόπιν των ανωτέρω</w:t>
      </w:r>
      <w:r w:rsidR="00C90179">
        <w:rPr>
          <w:rFonts w:ascii="Calibri" w:hAnsi="Calibri" w:cs="Calibri"/>
          <w:sz w:val="24"/>
          <w:szCs w:val="24"/>
        </w:rPr>
        <w:t>,</w:t>
      </w:r>
      <w:r w:rsidR="00716D70">
        <w:rPr>
          <w:rFonts w:ascii="Calibri" w:hAnsi="Calibri" w:cs="Calibri"/>
          <w:sz w:val="24"/>
          <w:szCs w:val="24"/>
        </w:rPr>
        <w:t xml:space="preserve"> παρακαλούμε να αποφασίσετε:</w:t>
      </w:r>
    </w:p>
    <w:p w:rsidR="00716D70" w:rsidRDefault="00716D70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716D70" w:rsidRPr="00716D70" w:rsidRDefault="00716D70" w:rsidP="00716D7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Γ</w:t>
      </w:r>
      <w:r w:rsidRPr="00824F7D">
        <w:rPr>
          <w:b/>
          <w:sz w:val="24"/>
          <w:szCs w:val="24"/>
        </w:rPr>
        <w:t>ια</w:t>
      </w:r>
      <w:r>
        <w:rPr>
          <w:b/>
          <w:sz w:val="24"/>
          <w:szCs w:val="24"/>
        </w:rPr>
        <w:t xml:space="preserve"> τη</w:t>
      </w:r>
      <w:r w:rsidRPr="00824F7D">
        <w:rPr>
          <w:b/>
          <w:sz w:val="24"/>
          <w:szCs w:val="24"/>
        </w:rPr>
        <w:t xml:space="preserve"> συνέχιση απασχόλησης των ΑΜΕΑ</w:t>
      </w:r>
      <w:r w:rsidRPr="00E93315">
        <w:rPr>
          <w:sz w:val="24"/>
          <w:szCs w:val="24"/>
        </w:rPr>
        <w:t xml:space="preserve"> και </w:t>
      </w:r>
      <w:r w:rsidRPr="00824F7D">
        <w:rPr>
          <w:b/>
          <w:sz w:val="24"/>
          <w:szCs w:val="24"/>
        </w:rPr>
        <w:t>μετατροπής</w:t>
      </w:r>
      <w:r w:rsidRPr="00E93315">
        <w:rPr>
          <w:sz w:val="24"/>
          <w:szCs w:val="24"/>
        </w:rPr>
        <w:t xml:space="preserve"> </w:t>
      </w:r>
      <w:r w:rsidRPr="00824F7D">
        <w:rPr>
          <w:b/>
          <w:sz w:val="24"/>
          <w:szCs w:val="24"/>
        </w:rPr>
        <w:t>σχέσεως</w:t>
      </w:r>
      <w:r w:rsidRPr="00E93315">
        <w:rPr>
          <w:sz w:val="24"/>
          <w:szCs w:val="24"/>
        </w:rPr>
        <w:t xml:space="preserve"> εργασίας τους, από 3+1 έτη </w:t>
      </w:r>
      <w:r w:rsidRPr="00824F7D">
        <w:rPr>
          <w:b/>
          <w:sz w:val="24"/>
          <w:szCs w:val="24"/>
        </w:rPr>
        <w:t>Ιδιωτικού Δικαίου Ορισμένου Χρόνου</w:t>
      </w:r>
      <w:r w:rsidRPr="00E93315">
        <w:rPr>
          <w:sz w:val="24"/>
          <w:szCs w:val="24"/>
        </w:rPr>
        <w:t xml:space="preserve"> σε </w:t>
      </w:r>
      <w:r w:rsidRPr="00824F7D">
        <w:rPr>
          <w:b/>
          <w:sz w:val="24"/>
          <w:szCs w:val="24"/>
        </w:rPr>
        <w:t>Ιδιωτικού Δικαίου Αορίστου Χρόνου</w:t>
      </w:r>
      <w:r w:rsidRPr="00E93315">
        <w:rPr>
          <w:sz w:val="24"/>
          <w:szCs w:val="24"/>
        </w:rPr>
        <w:t xml:space="preserve">, σύμφωνα με το </w:t>
      </w:r>
      <w:r w:rsidRPr="00824F7D">
        <w:rPr>
          <w:b/>
          <w:sz w:val="24"/>
          <w:szCs w:val="24"/>
        </w:rPr>
        <w:t>άρθρο 56</w:t>
      </w:r>
      <w:r w:rsidRPr="00E93315">
        <w:rPr>
          <w:sz w:val="24"/>
          <w:szCs w:val="24"/>
        </w:rPr>
        <w:t xml:space="preserve"> του </w:t>
      </w:r>
      <w:r w:rsidRPr="00824F7D">
        <w:rPr>
          <w:b/>
          <w:sz w:val="24"/>
          <w:szCs w:val="24"/>
        </w:rPr>
        <w:t>ν.4186/2013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«Διεύρυνση προστασίας των ΑΜΕΑ».</w:t>
      </w:r>
    </w:p>
    <w:p w:rsidR="00716D70" w:rsidRPr="00716D70" w:rsidRDefault="00716D70" w:rsidP="00716D7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Για τη σύσταση δυο (2) προσωποπαγών θέσεων ΙΔΑΧ στις ακόλουθες ειδικότητες:</w:t>
      </w:r>
    </w:p>
    <w:p w:rsidR="00716D70" w:rsidRDefault="00716D70" w:rsidP="00716D70">
      <w:pPr>
        <w:pStyle w:val="a3"/>
        <w:autoSpaceDE w:val="0"/>
        <w:autoSpaceDN w:val="0"/>
        <w:adjustRightInd w:val="0"/>
        <w:spacing w:after="0" w:line="240" w:lineRule="auto"/>
        <w:ind w:left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μια (1) ΤΕ Υπαλλήλου Γραφείου, μια (1) ΥΕ Ανειδίκευτου Υπαλλήλου.</w:t>
      </w:r>
    </w:p>
    <w:p w:rsidR="00716D70" w:rsidRPr="00C90179" w:rsidRDefault="00716D70" w:rsidP="00716D7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93315" w:rsidRDefault="00E93315" w:rsidP="008576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302"/>
        <w:tblW w:w="0" w:type="auto"/>
        <w:tblLook w:val="04A0"/>
      </w:tblPr>
      <w:tblGrid>
        <w:gridCol w:w="1776"/>
        <w:gridCol w:w="1776"/>
        <w:gridCol w:w="1974"/>
      </w:tblGrid>
      <w:tr w:rsidR="00D50A55" w:rsidRPr="00D50A55" w:rsidTr="00D85CDF">
        <w:trPr>
          <w:trHeight w:val="701"/>
        </w:trPr>
        <w:tc>
          <w:tcPr>
            <w:tcW w:w="1776" w:type="dxa"/>
          </w:tcPr>
          <w:p w:rsidR="00D50A55" w:rsidRDefault="00D50A55" w:rsidP="00D50A55">
            <w:pPr>
              <w:jc w:val="center"/>
              <w:rPr>
                <w:b/>
                <w:sz w:val="16"/>
                <w:szCs w:val="16"/>
              </w:rPr>
            </w:pPr>
            <w:r w:rsidRPr="00D50A55">
              <w:rPr>
                <w:b/>
                <w:sz w:val="16"/>
                <w:szCs w:val="16"/>
              </w:rPr>
              <w:t>Ο ΠΡΟΪΣΤΑΜΕΝΟΣ</w:t>
            </w:r>
          </w:p>
          <w:p w:rsidR="00D50A55" w:rsidRDefault="00D50A55" w:rsidP="00D50A55">
            <w:pPr>
              <w:rPr>
                <w:b/>
                <w:sz w:val="16"/>
                <w:szCs w:val="16"/>
              </w:rPr>
            </w:pPr>
          </w:p>
          <w:p w:rsidR="00D50A55" w:rsidRDefault="00D50A55" w:rsidP="00D50A55">
            <w:pPr>
              <w:jc w:val="center"/>
              <w:rPr>
                <w:b/>
                <w:sz w:val="16"/>
                <w:szCs w:val="16"/>
              </w:rPr>
            </w:pPr>
          </w:p>
          <w:p w:rsidR="00D85CDF" w:rsidRDefault="00D85CDF" w:rsidP="00D50A55">
            <w:pPr>
              <w:jc w:val="center"/>
              <w:rPr>
                <w:b/>
                <w:sz w:val="16"/>
                <w:szCs w:val="16"/>
              </w:rPr>
            </w:pPr>
          </w:p>
          <w:p w:rsidR="00D85CDF" w:rsidRPr="00D50A55" w:rsidRDefault="00D85CDF" w:rsidP="00D50A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 ΩΣ ΕΙΣΗΓΗΤΗΣ)</w:t>
            </w:r>
          </w:p>
        </w:tc>
        <w:tc>
          <w:tcPr>
            <w:tcW w:w="1776" w:type="dxa"/>
          </w:tcPr>
          <w:p w:rsidR="00D50A55" w:rsidRDefault="00D50A55" w:rsidP="00D50A5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50A55">
              <w:rPr>
                <w:b/>
                <w:sz w:val="16"/>
                <w:szCs w:val="16"/>
              </w:rPr>
              <w:t>Η ΑΝΤΙΔΗΜΑΡΧΟΣ</w:t>
            </w:r>
            <w:r w:rsidR="00443BDA">
              <w:rPr>
                <w:b/>
                <w:sz w:val="16"/>
                <w:szCs w:val="16"/>
              </w:rPr>
              <w:t xml:space="preserve"> </w:t>
            </w:r>
          </w:p>
          <w:p w:rsidR="00443BDA" w:rsidRDefault="00443BDA" w:rsidP="00D50A55">
            <w:pPr>
              <w:rPr>
                <w:b/>
                <w:sz w:val="16"/>
                <w:szCs w:val="16"/>
              </w:rPr>
            </w:pPr>
          </w:p>
          <w:p w:rsidR="00443BDA" w:rsidRDefault="00443BDA" w:rsidP="00D50A55">
            <w:pPr>
              <w:rPr>
                <w:b/>
                <w:sz w:val="16"/>
                <w:szCs w:val="16"/>
              </w:rPr>
            </w:pPr>
          </w:p>
          <w:p w:rsidR="00443BDA" w:rsidRDefault="00443BDA" w:rsidP="00D50A55">
            <w:pPr>
              <w:rPr>
                <w:b/>
                <w:sz w:val="16"/>
                <w:szCs w:val="16"/>
              </w:rPr>
            </w:pPr>
          </w:p>
          <w:p w:rsidR="00443BDA" w:rsidRPr="00D50A55" w:rsidRDefault="00443BDA" w:rsidP="00443BD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ΔΙΟΙΚΗΣΗΣ</w:t>
            </w:r>
          </w:p>
        </w:tc>
        <w:tc>
          <w:tcPr>
            <w:tcW w:w="1974" w:type="dxa"/>
          </w:tcPr>
          <w:p w:rsidR="00D50A55" w:rsidRPr="00D50A55" w:rsidRDefault="00D50A55" w:rsidP="00D50A55">
            <w:pPr>
              <w:ind w:right="-27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Η ΓΕΝΙΚΗ ΓΡΑΜΜΑΤΕΑΣ</w:t>
            </w:r>
          </w:p>
        </w:tc>
      </w:tr>
      <w:tr w:rsidR="00D50A55" w:rsidTr="00D50A55">
        <w:trPr>
          <w:trHeight w:val="857"/>
        </w:trPr>
        <w:tc>
          <w:tcPr>
            <w:tcW w:w="1776" w:type="dxa"/>
          </w:tcPr>
          <w:p w:rsidR="00D50A55" w:rsidRDefault="00D50A55" w:rsidP="00D50A55">
            <w:pPr>
              <w:rPr>
                <w:b/>
              </w:rPr>
            </w:pPr>
          </w:p>
        </w:tc>
        <w:tc>
          <w:tcPr>
            <w:tcW w:w="1776" w:type="dxa"/>
          </w:tcPr>
          <w:p w:rsidR="00D50A55" w:rsidRDefault="00D50A55" w:rsidP="00D50A55">
            <w:pPr>
              <w:rPr>
                <w:b/>
              </w:rPr>
            </w:pPr>
          </w:p>
        </w:tc>
        <w:tc>
          <w:tcPr>
            <w:tcW w:w="1974" w:type="dxa"/>
          </w:tcPr>
          <w:p w:rsidR="00D50A55" w:rsidRDefault="00D50A55" w:rsidP="00D50A55">
            <w:pPr>
              <w:rPr>
                <w:b/>
              </w:rPr>
            </w:pPr>
          </w:p>
        </w:tc>
      </w:tr>
    </w:tbl>
    <w:p w:rsidR="00D50A55" w:rsidRPr="00D50A55" w:rsidRDefault="00D50A55" w:rsidP="00D50A55">
      <w:pPr>
        <w:spacing w:line="240" w:lineRule="auto"/>
        <w:ind w:left="6480" w:firstLine="720"/>
        <w:rPr>
          <w:b/>
          <w:sz w:val="16"/>
          <w:szCs w:val="16"/>
          <w:lang w:val="en-US"/>
        </w:rPr>
      </w:pPr>
    </w:p>
    <w:p w:rsidR="00E93315" w:rsidRPr="00263458" w:rsidRDefault="00E93315" w:rsidP="00D50A55">
      <w:pPr>
        <w:spacing w:line="240" w:lineRule="auto"/>
        <w:ind w:left="6480" w:firstLine="720"/>
        <w:rPr>
          <w:b/>
        </w:rPr>
      </w:pPr>
      <w:r w:rsidRPr="00263458">
        <w:rPr>
          <w:b/>
        </w:rPr>
        <w:t>Ο  ΔΗΜΑΡΧΟΣ</w:t>
      </w:r>
    </w:p>
    <w:p w:rsidR="00E93315" w:rsidRPr="00263458" w:rsidRDefault="00E93315" w:rsidP="00E93315">
      <w:pPr>
        <w:spacing w:line="240" w:lineRule="auto"/>
        <w:ind w:left="6480"/>
        <w:rPr>
          <w:b/>
        </w:rPr>
      </w:pPr>
    </w:p>
    <w:p w:rsidR="00E93315" w:rsidRPr="00F01570" w:rsidRDefault="00D50A55" w:rsidP="00E93315">
      <w:pPr>
        <w:spacing w:line="240" w:lineRule="auto"/>
        <w:ind w:left="5040" w:firstLine="720"/>
        <w:rPr>
          <w:b/>
          <w:lang w:val="en-US"/>
        </w:rPr>
      </w:pPr>
      <w:r>
        <w:rPr>
          <w:b/>
        </w:rPr>
        <w:t xml:space="preserve">             </w:t>
      </w:r>
      <w:r w:rsidR="00E93315">
        <w:rPr>
          <w:b/>
          <w:lang w:val="en-US"/>
        </w:rPr>
        <w:t xml:space="preserve"> </w:t>
      </w:r>
      <w:r w:rsidR="00E93315" w:rsidRPr="00263458">
        <w:rPr>
          <w:b/>
        </w:rPr>
        <w:t>ΖΟΡΜΠΑΣ ΒΑΣΙΛΕΙΟΣ</w:t>
      </w:r>
    </w:p>
    <w:p w:rsidR="008576E8" w:rsidRPr="00716D70" w:rsidRDefault="008576E8" w:rsidP="00716D7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sectPr w:rsidR="008576E8" w:rsidRPr="00716D70" w:rsidSect="005E331F">
      <w:headerReference w:type="default" r:id="rId8"/>
      <w:pgSz w:w="11906" w:h="16838"/>
      <w:pgMar w:top="1440" w:right="1558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2EE" w:rsidRDefault="008222EE" w:rsidP="00526BFA">
      <w:pPr>
        <w:spacing w:after="0" w:line="240" w:lineRule="auto"/>
      </w:pPr>
      <w:r>
        <w:separator/>
      </w:r>
    </w:p>
  </w:endnote>
  <w:endnote w:type="continuationSeparator" w:id="0">
    <w:p w:rsidR="008222EE" w:rsidRDefault="008222EE" w:rsidP="0052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2EE" w:rsidRDefault="008222EE" w:rsidP="00526BFA">
      <w:pPr>
        <w:spacing w:after="0" w:line="240" w:lineRule="auto"/>
      </w:pPr>
      <w:r>
        <w:separator/>
      </w:r>
    </w:p>
  </w:footnote>
  <w:footnote w:type="continuationSeparator" w:id="0">
    <w:p w:rsidR="008222EE" w:rsidRDefault="008222EE" w:rsidP="0052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pacing w:val="60"/>
      </w:rPr>
      <w:id w:val="16276833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8A0542" w:rsidRDefault="008A0542">
        <w:pPr>
          <w:pStyle w:val="a5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Σελίδα</w:t>
        </w:r>
        <w:r>
          <w:t xml:space="preserve"> | </w:t>
        </w:r>
        <w:fldSimple w:instr=" PAGE   \* MERGEFORMAT ">
          <w:r w:rsidR="00141676" w:rsidRPr="00141676">
            <w:rPr>
              <w:b/>
              <w:noProof/>
            </w:rPr>
            <w:t>3</w:t>
          </w:r>
        </w:fldSimple>
      </w:p>
    </w:sdtContent>
  </w:sdt>
  <w:p w:rsidR="008A0542" w:rsidRDefault="008A05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98"/>
        </w:tabs>
        <w:ind w:left="1398" w:hanging="360"/>
      </w:pPr>
    </w:lvl>
  </w:abstractNum>
  <w:abstractNum w:abstractNumId="1">
    <w:nsid w:val="028C57DD"/>
    <w:multiLevelType w:val="hybridMultilevel"/>
    <w:tmpl w:val="251064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C04E0"/>
    <w:multiLevelType w:val="hybridMultilevel"/>
    <w:tmpl w:val="4C5E211A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E243F1"/>
    <w:multiLevelType w:val="hybridMultilevel"/>
    <w:tmpl w:val="F8A440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47604"/>
    <w:multiLevelType w:val="hybridMultilevel"/>
    <w:tmpl w:val="8EF4A85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E10011"/>
    <w:multiLevelType w:val="hybridMultilevel"/>
    <w:tmpl w:val="2ACACC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B372C"/>
    <w:multiLevelType w:val="hybridMultilevel"/>
    <w:tmpl w:val="F1B2F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308E4"/>
    <w:multiLevelType w:val="hybridMultilevel"/>
    <w:tmpl w:val="AC5E25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60516"/>
    <w:multiLevelType w:val="hybridMultilevel"/>
    <w:tmpl w:val="96387A7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702C1C"/>
    <w:multiLevelType w:val="hybridMultilevel"/>
    <w:tmpl w:val="2ACACC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A2BBB"/>
    <w:multiLevelType w:val="hybridMultilevel"/>
    <w:tmpl w:val="A12A7164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75952D25"/>
    <w:multiLevelType w:val="hybridMultilevel"/>
    <w:tmpl w:val="46BE49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34C07"/>
    <w:multiLevelType w:val="hybridMultilevel"/>
    <w:tmpl w:val="B198A9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E65"/>
    <w:rsid w:val="00003464"/>
    <w:rsid w:val="0000637E"/>
    <w:rsid w:val="00012F22"/>
    <w:rsid w:val="000133B4"/>
    <w:rsid w:val="00022777"/>
    <w:rsid w:val="0003543D"/>
    <w:rsid w:val="00040859"/>
    <w:rsid w:val="000506CD"/>
    <w:rsid w:val="0006590F"/>
    <w:rsid w:val="00070008"/>
    <w:rsid w:val="00094995"/>
    <w:rsid w:val="000A0C9B"/>
    <w:rsid w:val="000C581D"/>
    <w:rsid w:val="000F6DE9"/>
    <w:rsid w:val="000F7147"/>
    <w:rsid w:val="00135BA8"/>
    <w:rsid w:val="00141676"/>
    <w:rsid w:val="00160A06"/>
    <w:rsid w:val="001832B2"/>
    <w:rsid w:val="001B7104"/>
    <w:rsid w:val="001E1C51"/>
    <w:rsid w:val="001F719E"/>
    <w:rsid w:val="001F7664"/>
    <w:rsid w:val="002107D5"/>
    <w:rsid w:val="002442FF"/>
    <w:rsid w:val="002607E7"/>
    <w:rsid w:val="00263458"/>
    <w:rsid w:val="0026547F"/>
    <w:rsid w:val="00271DD6"/>
    <w:rsid w:val="0027690D"/>
    <w:rsid w:val="002843DF"/>
    <w:rsid w:val="002A608D"/>
    <w:rsid w:val="002B004E"/>
    <w:rsid w:val="002B01B5"/>
    <w:rsid w:val="002B1789"/>
    <w:rsid w:val="002C0649"/>
    <w:rsid w:val="002C0F72"/>
    <w:rsid w:val="002C6A9A"/>
    <w:rsid w:val="002D1EF3"/>
    <w:rsid w:val="002E58AF"/>
    <w:rsid w:val="003128DC"/>
    <w:rsid w:val="003414D8"/>
    <w:rsid w:val="00341FDC"/>
    <w:rsid w:val="00352B4C"/>
    <w:rsid w:val="00361B0B"/>
    <w:rsid w:val="00364528"/>
    <w:rsid w:val="00365F03"/>
    <w:rsid w:val="003902F2"/>
    <w:rsid w:val="003C71A1"/>
    <w:rsid w:val="003D72A4"/>
    <w:rsid w:val="003E1E3B"/>
    <w:rsid w:val="004201F5"/>
    <w:rsid w:val="00434F00"/>
    <w:rsid w:val="00435BFB"/>
    <w:rsid w:val="004364D3"/>
    <w:rsid w:val="00443BDA"/>
    <w:rsid w:val="00463254"/>
    <w:rsid w:val="00472A98"/>
    <w:rsid w:val="00482E80"/>
    <w:rsid w:val="0048479C"/>
    <w:rsid w:val="00494FD4"/>
    <w:rsid w:val="00496267"/>
    <w:rsid w:val="004A6E51"/>
    <w:rsid w:val="004A6E90"/>
    <w:rsid w:val="004A7938"/>
    <w:rsid w:val="004D7CDA"/>
    <w:rsid w:val="004E545D"/>
    <w:rsid w:val="004F142A"/>
    <w:rsid w:val="00512075"/>
    <w:rsid w:val="00526BFA"/>
    <w:rsid w:val="005317B3"/>
    <w:rsid w:val="00537A74"/>
    <w:rsid w:val="005750FA"/>
    <w:rsid w:val="00580D4F"/>
    <w:rsid w:val="00584918"/>
    <w:rsid w:val="00587BAA"/>
    <w:rsid w:val="0059212C"/>
    <w:rsid w:val="005A1DC6"/>
    <w:rsid w:val="005A3AF3"/>
    <w:rsid w:val="005B5E65"/>
    <w:rsid w:val="005C144F"/>
    <w:rsid w:val="005E2F61"/>
    <w:rsid w:val="005E331F"/>
    <w:rsid w:val="006019E1"/>
    <w:rsid w:val="006109AE"/>
    <w:rsid w:val="00617F41"/>
    <w:rsid w:val="0063100D"/>
    <w:rsid w:val="006371D1"/>
    <w:rsid w:val="0065344D"/>
    <w:rsid w:val="0066369F"/>
    <w:rsid w:val="00671725"/>
    <w:rsid w:val="00685553"/>
    <w:rsid w:val="00685662"/>
    <w:rsid w:val="006957F8"/>
    <w:rsid w:val="006B4EE5"/>
    <w:rsid w:val="006B6320"/>
    <w:rsid w:val="006B762F"/>
    <w:rsid w:val="006D5773"/>
    <w:rsid w:val="006E0476"/>
    <w:rsid w:val="006E6A52"/>
    <w:rsid w:val="00704CB2"/>
    <w:rsid w:val="00716D70"/>
    <w:rsid w:val="007316E4"/>
    <w:rsid w:val="007413AA"/>
    <w:rsid w:val="0074182D"/>
    <w:rsid w:val="00756197"/>
    <w:rsid w:val="00794612"/>
    <w:rsid w:val="007D203E"/>
    <w:rsid w:val="007F4C30"/>
    <w:rsid w:val="0080089E"/>
    <w:rsid w:val="00803197"/>
    <w:rsid w:val="008069EC"/>
    <w:rsid w:val="00807AAB"/>
    <w:rsid w:val="00810F28"/>
    <w:rsid w:val="008152CF"/>
    <w:rsid w:val="008222EE"/>
    <w:rsid w:val="00824F7D"/>
    <w:rsid w:val="0083129D"/>
    <w:rsid w:val="00831350"/>
    <w:rsid w:val="00832C19"/>
    <w:rsid w:val="00835F44"/>
    <w:rsid w:val="00840A33"/>
    <w:rsid w:val="00847999"/>
    <w:rsid w:val="00856721"/>
    <w:rsid w:val="00856D10"/>
    <w:rsid w:val="008576E8"/>
    <w:rsid w:val="00862658"/>
    <w:rsid w:val="00870790"/>
    <w:rsid w:val="00870A29"/>
    <w:rsid w:val="00890329"/>
    <w:rsid w:val="008A0542"/>
    <w:rsid w:val="008A13EF"/>
    <w:rsid w:val="008A43B8"/>
    <w:rsid w:val="008B53AB"/>
    <w:rsid w:val="008C29E8"/>
    <w:rsid w:val="008C53D0"/>
    <w:rsid w:val="008E47E2"/>
    <w:rsid w:val="008F1EDF"/>
    <w:rsid w:val="008F71A7"/>
    <w:rsid w:val="00901445"/>
    <w:rsid w:val="00917011"/>
    <w:rsid w:val="0092552E"/>
    <w:rsid w:val="0095409F"/>
    <w:rsid w:val="00955CF0"/>
    <w:rsid w:val="00962A52"/>
    <w:rsid w:val="0096399B"/>
    <w:rsid w:val="009644EF"/>
    <w:rsid w:val="00990C01"/>
    <w:rsid w:val="009A03B3"/>
    <w:rsid w:val="009A7810"/>
    <w:rsid w:val="009B0F21"/>
    <w:rsid w:val="009C2963"/>
    <w:rsid w:val="009D578B"/>
    <w:rsid w:val="00A07FAE"/>
    <w:rsid w:val="00A13526"/>
    <w:rsid w:val="00A253CA"/>
    <w:rsid w:val="00A27463"/>
    <w:rsid w:val="00A44D7B"/>
    <w:rsid w:val="00A47ABE"/>
    <w:rsid w:val="00A54E09"/>
    <w:rsid w:val="00A90CA5"/>
    <w:rsid w:val="00A93C5A"/>
    <w:rsid w:val="00A9401C"/>
    <w:rsid w:val="00AB35EC"/>
    <w:rsid w:val="00AE1346"/>
    <w:rsid w:val="00AE143F"/>
    <w:rsid w:val="00B110CA"/>
    <w:rsid w:val="00B415E1"/>
    <w:rsid w:val="00B5736D"/>
    <w:rsid w:val="00B67346"/>
    <w:rsid w:val="00B71DE1"/>
    <w:rsid w:val="00BA1815"/>
    <w:rsid w:val="00BB1BD1"/>
    <w:rsid w:val="00BD4AB5"/>
    <w:rsid w:val="00C31FB1"/>
    <w:rsid w:val="00C47739"/>
    <w:rsid w:val="00C6543E"/>
    <w:rsid w:val="00C82D29"/>
    <w:rsid w:val="00C90179"/>
    <w:rsid w:val="00CB01C3"/>
    <w:rsid w:val="00CB69BF"/>
    <w:rsid w:val="00CC157D"/>
    <w:rsid w:val="00CD0466"/>
    <w:rsid w:val="00CD4048"/>
    <w:rsid w:val="00CE689B"/>
    <w:rsid w:val="00D10F0F"/>
    <w:rsid w:val="00D21047"/>
    <w:rsid w:val="00D27AF8"/>
    <w:rsid w:val="00D362B4"/>
    <w:rsid w:val="00D41EE1"/>
    <w:rsid w:val="00D50A55"/>
    <w:rsid w:val="00D52B48"/>
    <w:rsid w:val="00D84233"/>
    <w:rsid w:val="00D85CDF"/>
    <w:rsid w:val="00D86BE2"/>
    <w:rsid w:val="00D92F48"/>
    <w:rsid w:val="00DB5911"/>
    <w:rsid w:val="00DF2E2D"/>
    <w:rsid w:val="00E06C65"/>
    <w:rsid w:val="00E3114B"/>
    <w:rsid w:val="00E31F71"/>
    <w:rsid w:val="00E46F3D"/>
    <w:rsid w:val="00E5589B"/>
    <w:rsid w:val="00E67C3C"/>
    <w:rsid w:val="00E72854"/>
    <w:rsid w:val="00E8219C"/>
    <w:rsid w:val="00E8563C"/>
    <w:rsid w:val="00E90DB6"/>
    <w:rsid w:val="00E91677"/>
    <w:rsid w:val="00E93315"/>
    <w:rsid w:val="00E969AD"/>
    <w:rsid w:val="00EA535C"/>
    <w:rsid w:val="00ED465D"/>
    <w:rsid w:val="00F01570"/>
    <w:rsid w:val="00F01999"/>
    <w:rsid w:val="00F210E7"/>
    <w:rsid w:val="00F221ED"/>
    <w:rsid w:val="00F261FE"/>
    <w:rsid w:val="00F43E35"/>
    <w:rsid w:val="00F4608B"/>
    <w:rsid w:val="00F50D4E"/>
    <w:rsid w:val="00F52D52"/>
    <w:rsid w:val="00F63C1B"/>
    <w:rsid w:val="00F66D5A"/>
    <w:rsid w:val="00F711BF"/>
    <w:rsid w:val="00F84864"/>
    <w:rsid w:val="00F86A66"/>
    <w:rsid w:val="00F97229"/>
    <w:rsid w:val="00FA4393"/>
    <w:rsid w:val="00FA5119"/>
    <w:rsid w:val="00FC3AC8"/>
    <w:rsid w:val="00FF018F"/>
    <w:rsid w:val="00FF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526"/>
    <w:pPr>
      <w:ind w:left="720"/>
      <w:contextualSpacing/>
    </w:pPr>
  </w:style>
  <w:style w:type="table" w:styleId="a4">
    <w:name w:val="Table Grid"/>
    <w:basedOn w:val="a1"/>
    <w:uiPriority w:val="59"/>
    <w:rsid w:val="00847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526BFA"/>
  </w:style>
  <w:style w:type="paragraph" w:styleId="a6">
    <w:name w:val="footer"/>
    <w:basedOn w:val="a"/>
    <w:link w:val="Char0"/>
    <w:uiPriority w:val="99"/>
    <w:semiHidden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526BFA"/>
  </w:style>
  <w:style w:type="paragraph" w:styleId="a7">
    <w:name w:val="Body Text"/>
    <w:basedOn w:val="a"/>
    <w:link w:val="Char1"/>
    <w:semiHidden/>
    <w:rsid w:val="006B4EE5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ar-SA"/>
    </w:rPr>
  </w:style>
  <w:style w:type="character" w:customStyle="1" w:styleId="Char1">
    <w:name w:val="Σώμα κειμένου Char"/>
    <w:basedOn w:val="a0"/>
    <w:link w:val="a7"/>
    <w:semiHidden/>
    <w:rsid w:val="006B4EE5"/>
    <w:rPr>
      <w:rFonts w:ascii="Arial" w:eastAsia="Times New Roman" w:hAnsi="Arial" w:cs="Arial"/>
      <w:szCs w:val="24"/>
      <w:lang w:eastAsia="ar-SA"/>
    </w:rPr>
  </w:style>
  <w:style w:type="paragraph" w:customStyle="1" w:styleId="21">
    <w:name w:val="Σώμα κείμενου 21"/>
    <w:basedOn w:val="a"/>
    <w:rsid w:val="006B4EE5"/>
    <w:pPr>
      <w:suppressAutoHyphens/>
      <w:spacing w:after="0" w:line="240" w:lineRule="auto"/>
    </w:pPr>
    <w:rPr>
      <w:rFonts w:ascii="Arial" w:eastAsia="Times New Roman" w:hAnsi="Arial" w:cs="Arial"/>
      <w:sz w:val="26"/>
      <w:szCs w:val="24"/>
      <w:lang w:eastAsia="ar-SA"/>
    </w:rPr>
  </w:style>
  <w:style w:type="paragraph" w:styleId="a8">
    <w:name w:val="Body Text Indent"/>
    <w:basedOn w:val="a"/>
    <w:link w:val="Char2"/>
    <w:rsid w:val="006B4EE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2">
    <w:name w:val="Σώμα κείμενου με εσοχή Char"/>
    <w:basedOn w:val="a0"/>
    <w:link w:val="a8"/>
    <w:rsid w:val="006B4E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82859-B3B1-4733-BB96-1AF6A924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6770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akaf</dc:creator>
  <cp:lastModifiedBy>ivou</cp:lastModifiedBy>
  <cp:revision>2</cp:revision>
  <cp:lastPrinted>2014-03-24T09:51:00Z</cp:lastPrinted>
  <dcterms:created xsi:type="dcterms:W3CDTF">2014-03-24T11:21:00Z</dcterms:created>
  <dcterms:modified xsi:type="dcterms:W3CDTF">2014-03-24T11:21:00Z</dcterms:modified>
</cp:coreProperties>
</file>